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897C" w14:textId="264F3930" w:rsidR="00FA0B5E" w:rsidRPr="00FC3F1E" w:rsidRDefault="00FA0B5E" w:rsidP="00FC3F1E">
      <w:pPr>
        <w:spacing w:after="0"/>
        <w:jc w:val="center"/>
        <w:rPr>
          <w:b/>
        </w:rPr>
      </w:pPr>
      <w:bookmarkStart w:id="0" w:name="_GoBack"/>
      <w:bookmarkEnd w:id="0"/>
      <w:r w:rsidRPr="00FC3F1E">
        <w:rPr>
          <w:b/>
        </w:rPr>
        <w:t>CONFIRMED MINUTES</w:t>
      </w:r>
    </w:p>
    <w:p w14:paraId="267D897D" w14:textId="4262C968" w:rsidR="00FA0B5E" w:rsidRPr="00FC3F1E" w:rsidRDefault="00121E92" w:rsidP="00FC3F1E">
      <w:pPr>
        <w:spacing w:after="0"/>
        <w:jc w:val="center"/>
        <w:rPr>
          <w:b/>
        </w:rPr>
      </w:pPr>
      <w:r>
        <w:rPr>
          <w:b/>
        </w:rPr>
        <w:t>JUNE 22 - 25, 2015</w:t>
      </w:r>
    </w:p>
    <w:p w14:paraId="267D897E" w14:textId="62D56C27" w:rsidR="00FA0B5E" w:rsidRPr="00FC3F1E" w:rsidRDefault="00121E92" w:rsidP="007F7E08">
      <w:pPr>
        <w:jc w:val="center"/>
        <w:rPr>
          <w:b/>
        </w:rPr>
      </w:pPr>
      <w:r>
        <w:rPr>
          <w:b/>
        </w:rPr>
        <w:t>MONTREAL, QUEBEC, CANADA</w:t>
      </w:r>
    </w:p>
    <w:p w14:paraId="267D897F" w14:textId="77777777"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14:paraId="06F1C09A" w14:textId="6423E654" w:rsidR="00B53DB8" w:rsidRDefault="00121E92" w:rsidP="00A97D30">
      <w:pPr>
        <w:rPr>
          <w:b/>
          <w:u w:val="single"/>
        </w:rPr>
      </w:pPr>
      <w:r>
        <w:rPr>
          <w:b/>
          <w:u w:val="single"/>
        </w:rPr>
        <w:t>Monday,</w:t>
      </w:r>
      <w:r w:rsidR="00D62FAB">
        <w:rPr>
          <w:b/>
          <w:u w:val="single"/>
        </w:rPr>
        <w:t xml:space="preserve"> </w:t>
      </w:r>
      <w:r>
        <w:rPr>
          <w:b/>
          <w:u w:val="single"/>
        </w:rPr>
        <w:t>June 22,</w:t>
      </w:r>
      <w:r w:rsidR="001B377E">
        <w:rPr>
          <w:b/>
          <w:u w:val="single"/>
        </w:rPr>
        <w:t xml:space="preserve"> </w:t>
      </w:r>
      <w:r>
        <w:rPr>
          <w:b/>
          <w:u w:val="single"/>
        </w:rPr>
        <w:t>2015 to Thursday, June 25, 2015</w:t>
      </w:r>
    </w:p>
    <w:p w14:paraId="267D8981" w14:textId="76372204" w:rsidR="00FA0B5E" w:rsidRDefault="00FA0B5E" w:rsidP="00B53DB8">
      <w:pPr>
        <w:pStyle w:val="Heading1"/>
      </w:pPr>
      <w:r>
        <w:t>OPENING COMMENTS</w:t>
      </w:r>
      <w:r w:rsidR="00AB1ABF">
        <w:t xml:space="preserve"> (daily) - CLOSED</w:t>
      </w:r>
    </w:p>
    <w:p w14:paraId="267D8982" w14:textId="6499AAB7" w:rsidR="00FA0B5E" w:rsidRDefault="00FA0B5E" w:rsidP="00FA0B5E">
      <w:pPr>
        <w:pStyle w:val="Heading2"/>
      </w:pPr>
      <w:r>
        <w:t>Call to Order / Quorum Check</w:t>
      </w:r>
      <w:r w:rsidR="00AB1ABF">
        <w:t xml:space="preserve"> </w:t>
      </w:r>
    </w:p>
    <w:p w14:paraId="267D8983" w14:textId="387D2946" w:rsidR="00FA0B5E" w:rsidRDefault="00FA0B5E" w:rsidP="00FA0B5E">
      <w:pPr>
        <w:pStyle w:val="Body"/>
      </w:pPr>
      <w:r>
        <w:t xml:space="preserve">The </w:t>
      </w:r>
      <w:r w:rsidR="00121E92">
        <w:t xml:space="preserve">Electronics Task </w:t>
      </w:r>
      <w:r w:rsidR="00A97D30">
        <w:t>G</w:t>
      </w:r>
      <w:r w:rsidR="00121E92">
        <w:t xml:space="preserve">roup </w:t>
      </w:r>
      <w:r>
        <w:t>(</w:t>
      </w:r>
      <w:r w:rsidR="00121E92">
        <w:t>E</w:t>
      </w:r>
      <w:r>
        <w:t>T</w:t>
      </w:r>
      <w:r w:rsidR="00121E92">
        <w:t>G</w:t>
      </w:r>
      <w:r>
        <w:t xml:space="preserve">) was called to order at </w:t>
      </w:r>
      <w:r w:rsidR="00121E92">
        <w:t>8:00</w:t>
      </w:r>
      <w:r>
        <w:t xml:space="preserve"> a.m., </w:t>
      </w:r>
      <w:r w:rsidR="00121E92">
        <w:t>22-JUN-2015</w:t>
      </w:r>
      <w:r w:rsidR="00D62FAB">
        <w:t>.</w:t>
      </w:r>
    </w:p>
    <w:p w14:paraId="267D8984" w14:textId="77777777" w:rsidR="00FA0B5E" w:rsidRDefault="00FA0B5E" w:rsidP="00FA0B5E">
      <w:pPr>
        <w:pStyle w:val="Body"/>
      </w:pPr>
      <w:r>
        <w:t>It was verified that only SUBSCRIBER MEMBERS were in attendance during the closed portion of the meeting.</w:t>
      </w:r>
    </w:p>
    <w:p w14:paraId="2F6C6A73" w14:textId="6D3C7AC4" w:rsidR="00AB1ABF" w:rsidRDefault="00AB1ABF" w:rsidP="00FA0B5E">
      <w:pPr>
        <w:pStyle w:val="Body"/>
      </w:pPr>
      <w:r>
        <w:t>Introductions</w:t>
      </w:r>
    </w:p>
    <w:p w14:paraId="267D8985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267D8986" w14:textId="77777777"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368"/>
        <w:gridCol w:w="1620"/>
        <w:gridCol w:w="4320"/>
        <w:gridCol w:w="2700"/>
      </w:tblGrid>
      <w:tr w:rsidR="00E51455" w:rsidRPr="00FA0B5E" w14:paraId="267D898C" w14:textId="77777777" w:rsidTr="001B377E">
        <w:tc>
          <w:tcPr>
            <w:tcW w:w="295" w:type="dxa"/>
          </w:tcPr>
          <w:p w14:paraId="267D8987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368" w:type="dxa"/>
          </w:tcPr>
          <w:p w14:paraId="267D8988" w14:textId="77777777"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620" w:type="dxa"/>
          </w:tcPr>
          <w:p w14:paraId="267D8989" w14:textId="4609E148" w:rsidR="00FA0B5E" w:rsidRPr="00FA0B5E" w:rsidRDefault="00C4480B" w:rsidP="00FA0B5E">
            <w:pPr>
              <w:pStyle w:val="Names"/>
            </w:pPr>
            <w:r>
              <w:t>Last</w:t>
            </w:r>
          </w:p>
        </w:tc>
        <w:tc>
          <w:tcPr>
            <w:tcW w:w="4320" w:type="dxa"/>
          </w:tcPr>
          <w:p w14:paraId="267D898A" w14:textId="77777777"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700" w:type="dxa"/>
          </w:tcPr>
          <w:p w14:paraId="267D898B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267D8992" w14:textId="77777777" w:rsidTr="001B377E">
        <w:tc>
          <w:tcPr>
            <w:tcW w:w="295" w:type="dxa"/>
          </w:tcPr>
          <w:p w14:paraId="267D898D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368" w:type="dxa"/>
          </w:tcPr>
          <w:p w14:paraId="267D898E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620" w:type="dxa"/>
          </w:tcPr>
          <w:p w14:paraId="267D898F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4320" w:type="dxa"/>
          </w:tcPr>
          <w:p w14:paraId="267D8990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2700" w:type="dxa"/>
          </w:tcPr>
          <w:p w14:paraId="267D8991" w14:textId="77777777" w:rsidR="00FA0B5E" w:rsidRPr="00FA0B5E" w:rsidRDefault="00FA0B5E" w:rsidP="00FA0B5E">
            <w:pPr>
              <w:pStyle w:val="Names"/>
            </w:pPr>
          </w:p>
        </w:tc>
      </w:tr>
      <w:tr w:rsidR="00AC43F7" w:rsidRPr="00FA0B5E" w14:paraId="18118FDC" w14:textId="77777777" w:rsidTr="001B377E">
        <w:tc>
          <w:tcPr>
            <w:tcW w:w="295" w:type="dxa"/>
          </w:tcPr>
          <w:p w14:paraId="1ED75B73" w14:textId="77777777" w:rsidR="00AC43F7" w:rsidRPr="00FA0B5E" w:rsidRDefault="00AC43F7" w:rsidP="00FA0B5E">
            <w:pPr>
              <w:pStyle w:val="Names"/>
            </w:pPr>
          </w:p>
        </w:tc>
        <w:tc>
          <w:tcPr>
            <w:tcW w:w="1368" w:type="dxa"/>
          </w:tcPr>
          <w:p w14:paraId="46DC115C" w14:textId="77777777" w:rsidR="00AC43F7" w:rsidRPr="00FA0B5E" w:rsidRDefault="00AC43F7" w:rsidP="00FA0B5E">
            <w:pPr>
              <w:pStyle w:val="Names"/>
            </w:pPr>
            <w:r>
              <w:t>Hal</w:t>
            </w:r>
          </w:p>
        </w:tc>
        <w:tc>
          <w:tcPr>
            <w:tcW w:w="1620" w:type="dxa"/>
          </w:tcPr>
          <w:p w14:paraId="0392D450" w14:textId="77777777" w:rsidR="00AC43F7" w:rsidRPr="00B70844" w:rsidRDefault="00AC43F7" w:rsidP="00FA0B5E">
            <w:pPr>
              <w:pStyle w:val="Names"/>
            </w:pPr>
            <w:r w:rsidRPr="00B70844">
              <w:t>Abel</w:t>
            </w:r>
          </w:p>
        </w:tc>
        <w:tc>
          <w:tcPr>
            <w:tcW w:w="4320" w:type="dxa"/>
          </w:tcPr>
          <w:p w14:paraId="32E7A507" w14:textId="77777777" w:rsidR="00AC43F7" w:rsidRPr="00FA0B5E" w:rsidRDefault="00AC43F7" w:rsidP="00FA0B5E">
            <w:pPr>
              <w:pStyle w:val="Names"/>
            </w:pPr>
            <w:r w:rsidRPr="00AC43F7">
              <w:t>Raytheon Company</w:t>
            </w:r>
          </w:p>
        </w:tc>
        <w:tc>
          <w:tcPr>
            <w:tcW w:w="2700" w:type="dxa"/>
          </w:tcPr>
          <w:p w14:paraId="7BB2DE92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38F3EF10" w14:textId="77777777" w:rsidTr="001B377E">
        <w:tc>
          <w:tcPr>
            <w:tcW w:w="295" w:type="dxa"/>
          </w:tcPr>
          <w:p w14:paraId="74C8B852" w14:textId="77777777" w:rsidR="00AC43F7" w:rsidRPr="00FA0B5E" w:rsidRDefault="00AC43F7" w:rsidP="00FA0B5E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535413FB" w14:textId="77777777" w:rsidR="00AC43F7" w:rsidRPr="00D62FAB" w:rsidRDefault="00AC43F7" w:rsidP="00D62FAB">
            <w:pPr>
              <w:pStyle w:val="Names"/>
            </w:pPr>
            <w:r w:rsidRPr="00D62FAB">
              <w:t xml:space="preserve">Roger </w:t>
            </w:r>
          </w:p>
        </w:tc>
        <w:tc>
          <w:tcPr>
            <w:tcW w:w="1620" w:type="dxa"/>
          </w:tcPr>
          <w:p w14:paraId="5B8F5721" w14:textId="77777777" w:rsidR="00AC43F7" w:rsidRPr="00B70844" w:rsidRDefault="00AC43F7" w:rsidP="00FA0B5E">
            <w:pPr>
              <w:pStyle w:val="Names"/>
            </w:pPr>
            <w:r w:rsidRPr="00B70844">
              <w:t>Bloomfield</w:t>
            </w:r>
          </w:p>
        </w:tc>
        <w:tc>
          <w:tcPr>
            <w:tcW w:w="4320" w:type="dxa"/>
          </w:tcPr>
          <w:p w14:paraId="250E69C0" w14:textId="77777777" w:rsidR="00AC43F7" w:rsidRPr="00D62FAB" w:rsidRDefault="00AC43F7" w:rsidP="00FA0B5E">
            <w:pPr>
              <w:pStyle w:val="Names"/>
            </w:pPr>
            <w:r w:rsidRPr="00D62FAB">
              <w:t>UTC Aerospace (Goodrich)</w:t>
            </w:r>
          </w:p>
        </w:tc>
        <w:tc>
          <w:tcPr>
            <w:tcW w:w="2700" w:type="dxa"/>
          </w:tcPr>
          <w:p w14:paraId="34FBBFA5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6CCF7B02" w14:textId="77777777" w:rsidTr="001B377E">
        <w:tc>
          <w:tcPr>
            <w:tcW w:w="295" w:type="dxa"/>
          </w:tcPr>
          <w:p w14:paraId="012715A7" w14:textId="77777777" w:rsidR="00AC43F7" w:rsidRPr="00FA0B5E" w:rsidRDefault="00AC43F7" w:rsidP="00FA0B5E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53765D2A" w14:textId="77777777" w:rsidR="00AC43F7" w:rsidRPr="00FA0B5E" w:rsidRDefault="00AC43F7" w:rsidP="00D62FAB">
            <w:pPr>
              <w:pStyle w:val="Names"/>
            </w:pPr>
            <w:r w:rsidRPr="00D62FAB">
              <w:t xml:space="preserve">Bill </w:t>
            </w:r>
          </w:p>
        </w:tc>
        <w:tc>
          <w:tcPr>
            <w:tcW w:w="1620" w:type="dxa"/>
          </w:tcPr>
          <w:p w14:paraId="7EE1089E" w14:textId="77777777" w:rsidR="00AC43F7" w:rsidRPr="00B70844" w:rsidRDefault="00AC43F7" w:rsidP="00FA0B5E">
            <w:pPr>
              <w:pStyle w:val="Names"/>
            </w:pPr>
            <w:r w:rsidRPr="00B70844">
              <w:t>Cardinal</w:t>
            </w:r>
          </w:p>
        </w:tc>
        <w:tc>
          <w:tcPr>
            <w:tcW w:w="4320" w:type="dxa"/>
          </w:tcPr>
          <w:p w14:paraId="1A14A470" w14:textId="77777777" w:rsidR="00AC43F7" w:rsidRPr="00FA0B5E" w:rsidRDefault="00AC43F7" w:rsidP="00FA0B5E">
            <w:pPr>
              <w:pStyle w:val="Names"/>
            </w:pPr>
            <w:r w:rsidRPr="00D62FAB">
              <w:t>UTC Aerospace (Hamilton Sundstrand)</w:t>
            </w:r>
          </w:p>
        </w:tc>
        <w:tc>
          <w:tcPr>
            <w:tcW w:w="2700" w:type="dxa"/>
          </w:tcPr>
          <w:p w14:paraId="24F52D16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08975ABF" w14:textId="77777777" w:rsidTr="001B377E">
        <w:tc>
          <w:tcPr>
            <w:tcW w:w="295" w:type="dxa"/>
          </w:tcPr>
          <w:p w14:paraId="6EAEE9A5" w14:textId="77777777" w:rsidR="00AC43F7" w:rsidRPr="00FA0B5E" w:rsidRDefault="00AC43F7" w:rsidP="00FA0B5E">
            <w:pPr>
              <w:pStyle w:val="Names"/>
            </w:pPr>
          </w:p>
        </w:tc>
        <w:tc>
          <w:tcPr>
            <w:tcW w:w="1368" w:type="dxa"/>
          </w:tcPr>
          <w:p w14:paraId="47464AC3" w14:textId="77777777" w:rsidR="00AC43F7" w:rsidRPr="00FA0B5E" w:rsidRDefault="00AC43F7" w:rsidP="00FA0B5E">
            <w:pPr>
              <w:pStyle w:val="Names"/>
            </w:pPr>
            <w:r>
              <w:t>Dave</w:t>
            </w:r>
          </w:p>
        </w:tc>
        <w:tc>
          <w:tcPr>
            <w:tcW w:w="1620" w:type="dxa"/>
          </w:tcPr>
          <w:p w14:paraId="6EAF035D" w14:textId="77777777" w:rsidR="00AC43F7" w:rsidRPr="00B70844" w:rsidRDefault="00AC43F7" w:rsidP="00FA0B5E">
            <w:pPr>
              <w:pStyle w:val="Names"/>
            </w:pPr>
            <w:proofErr w:type="spellStart"/>
            <w:r w:rsidRPr="00B70844">
              <w:t>Dvorsky</w:t>
            </w:r>
            <w:proofErr w:type="spellEnd"/>
          </w:p>
        </w:tc>
        <w:tc>
          <w:tcPr>
            <w:tcW w:w="4320" w:type="dxa"/>
          </w:tcPr>
          <w:p w14:paraId="4B20EF89" w14:textId="77777777" w:rsidR="00AC43F7" w:rsidRPr="00FA0B5E" w:rsidRDefault="00AC43F7" w:rsidP="00FA0B5E">
            <w:pPr>
              <w:pStyle w:val="Names"/>
            </w:pPr>
            <w:r>
              <w:t>Rockwell Collins</w:t>
            </w:r>
          </w:p>
        </w:tc>
        <w:tc>
          <w:tcPr>
            <w:tcW w:w="2700" w:type="dxa"/>
          </w:tcPr>
          <w:p w14:paraId="49923210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5315AAD1" w14:textId="77777777" w:rsidTr="001B377E">
        <w:tc>
          <w:tcPr>
            <w:tcW w:w="295" w:type="dxa"/>
          </w:tcPr>
          <w:p w14:paraId="3180F714" w14:textId="77777777" w:rsidR="00AC43F7" w:rsidRPr="00FA0B5E" w:rsidRDefault="00AC43F7" w:rsidP="00FA0B5E">
            <w:pPr>
              <w:pStyle w:val="Names"/>
            </w:pPr>
          </w:p>
        </w:tc>
        <w:tc>
          <w:tcPr>
            <w:tcW w:w="1368" w:type="dxa"/>
          </w:tcPr>
          <w:p w14:paraId="3B937BC1" w14:textId="77777777" w:rsidR="00AC43F7" w:rsidRPr="00D62FAB" w:rsidRDefault="00AC43F7" w:rsidP="00D62FAB">
            <w:pPr>
              <w:pStyle w:val="Names"/>
            </w:pPr>
            <w:r>
              <w:t>Carol</w:t>
            </w:r>
          </w:p>
        </w:tc>
        <w:tc>
          <w:tcPr>
            <w:tcW w:w="1620" w:type="dxa"/>
          </w:tcPr>
          <w:p w14:paraId="23FF6B83" w14:textId="77777777" w:rsidR="00AC43F7" w:rsidRPr="00B70844" w:rsidRDefault="00AC43F7" w:rsidP="00FA0B5E">
            <w:pPr>
              <w:pStyle w:val="Names"/>
            </w:pPr>
            <w:r w:rsidRPr="00B70844">
              <w:t>Jeffcoate</w:t>
            </w:r>
          </w:p>
        </w:tc>
        <w:tc>
          <w:tcPr>
            <w:tcW w:w="4320" w:type="dxa"/>
          </w:tcPr>
          <w:p w14:paraId="18CC569C" w14:textId="77777777" w:rsidR="00AC43F7" w:rsidRPr="00D62FAB" w:rsidRDefault="00AC43F7" w:rsidP="00FA0B5E">
            <w:pPr>
              <w:pStyle w:val="Names"/>
            </w:pPr>
            <w:r w:rsidRPr="00D66FA7">
              <w:t>Honeywell Aerospace</w:t>
            </w:r>
          </w:p>
        </w:tc>
        <w:tc>
          <w:tcPr>
            <w:tcW w:w="2700" w:type="dxa"/>
          </w:tcPr>
          <w:p w14:paraId="7223663A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79D29A10" w14:textId="77777777" w:rsidTr="001B377E">
        <w:tc>
          <w:tcPr>
            <w:tcW w:w="295" w:type="dxa"/>
          </w:tcPr>
          <w:p w14:paraId="0146F569" w14:textId="77777777" w:rsidR="00AC43F7" w:rsidRPr="00FA0B5E" w:rsidRDefault="00AC43F7" w:rsidP="00FA0B5E">
            <w:pPr>
              <w:pStyle w:val="Names"/>
            </w:pPr>
          </w:p>
        </w:tc>
        <w:tc>
          <w:tcPr>
            <w:tcW w:w="1368" w:type="dxa"/>
          </w:tcPr>
          <w:p w14:paraId="1A417CB0" w14:textId="77777777" w:rsidR="00AC43F7" w:rsidRPr="00FA0B5E" w:rsidRDefault="00AC43F7" w:rsidP="00FA0B5E">
            <w:pPr>
              <w:pStyle w:val="Names"/>
            </w:pPr>
            <w:r>
              <w:t>Frank</w:t>
            </w:r>
          </w:p>
        </w:tc>
        <w:tc>
          <w:tcPr>
            <w:tcW w:w="1620" w:type="dxa"/>
          </w:tcPr>
          <w:p w14:paraId="5D59209D" w14:textId="77777777" w:rsidR="00AC43F7" w:rsidRPr="00B70844" w:rsidRDefault="00AC43F7" w:rsidP="00FA0B5E">
            <w:pPr>
              <w:pStyle w:val="Names"/>
            </w:pPr>
            <w:r w:rsidRPr="00B70844">
              <w:t>McManus</w:t>
            </w:r>
          </w:p>
        </w:tc>
        <w:tc>
          <w:tcPr>
            <w:tcW w:w="4320" w:type="dxa"/>
          </w:tcPr>
          <w:p w14:paraId="3F45009D" w14:textId="6D487401" w:rsidR="00AC43F7" w:rsidRPr="00FA0B5E" w:rsidRDefault="00AC43F7" w:rsidP="00AC43F7">
            <w:pPr>
              <w:pStyle w:val="Names"/>
            </w:pPr>
            <w:r>
              <w:t>Lockheed Martin Corporation</w:t>
            </w:r>
          </w:p>
        </w:tc>
        <w:tc>
          <w:tcPr>
            <w:tcW w:w="2700" w:type="dxa"/>
          </w:tcPr>
          <w:p w14:paraId="55355389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75F0DAD6" w14:textId="77777777" w:rsidTr="001B377E">
        <w:tc>
          <w:tcPr>
            <w:tcW w:w="295" w:type="dxa"/>
          </w:tcPr>
          <w:p w14:paraId="1F6D5C37" w14:textId="77777777" w:rsidR="00AC43F7" w:rsidRPr="00FA0B5E" w:rsidRDefault="00AC43F7" w:rsidP="00FA0B5E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41775BF5" w14:textId="77777777" w:rsidR="00AC43F7" w:rsidRPr="00FA0B5E" w:rsidRDefault="00AC43F7" w:rsidP="00D62FAB">
            <w:pPr>
              <w:pStyle w:val="Names"/>
            </w:pPr>
            <w:r>
              <w:t>Scott</w:t>
            </w:r>
          </w:p>
        </w:tc>
        <w:tc>
          <w:tcPr>
            <w:tcW w:w="1620" w:type="dxa"/>
          </w:tcPr>
          <w:p w14:paraId="1B0FA5C4" w14:textId="77777777" w:rsidR="00AC43F7" w:rsidRPr="00B70844" w:rsidRDefault="00AC43F7" w:rsidP="00FA0B5E">
            <w:pPr>
              <w:pStyle w:val="Names"/>
            </w:pPr>
            <w:r w:rsidRPr="00B70844">
              <w:t>Meyer</w:t>
            </w:r>
          </w:p>
        </w:tc>
        <w:tc>
          <w:tcPr>
            <w:tcW w:w="4320" w:type="dxa"/>
          </w:tcPr>
          <w:p w14:paraId="425708ED" w14:textId="77777777" w:rsidR="00AC43F7" w:rsidRPr="00FA0B5E" w:rsidRDefault="00AC43F7" w:rsidP="00FA0B5E">
            <w:pPr>
              <w:pStyle w:val="Names"/>
            </w:pPr>
            <w:r w:rsidRPr="00D62FAB">
              <w:t>UTC Aerospace (Goodrich)</w:t>
            </w:r>
          </w:p>
        </w:tc>
        <w:tc>
          <w:tcPr>
            <w:tcW w:w="2700" w:type="dxa"/>
          </w:tcPr>
          <w:p w14:paraId="1FFE32D5" w14:textId="77777777" w:rsidR="00AC43F7" w:rsidRDefault="00AC43F7" w:rsidP="00FA0B5E">
            <w:pPr>
              <w:pStyle w:val="Names"/>
            </w:pPr>
            <w:r w:rsidRPr="00AC43F7">
              <w:t>Secretary</w:t>
            </w:r>
          </w:p>
        </w:tc>
      </w:tr>
      <w:tr w:rsidR="00AC43F7" w:rsidRPr="00FA0B5E" w14:paraId="14C3BAB4" w14:textId="77777777" w:rsidTr="001B377E">
        <w:tc>
          <w:tcPr>
            <w:tcW w:w="295" w:type="dxa"/>
          </w:tcPr>
          <w:p w14:paraId="34082C31" w14:textId="143BEE51" w:rsidR="00AC43F7" w:rsidRPr="00FA0B5E" w:rsidRDefault="00AC43F7" w:rsidP="00FA0B5E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38943595" w14:textId="77777777" w:rsidR="00AC43F7" w:rsidRPr="00FA0B5E" w:rsidRDefault="00AC43F7" w:rsidP="00FA0B5E">
            <w:pPr>
              <w:pStyle w:val="Names"/>
            </w:pPr>
            <w:r>
              <w:t>Junta</w:t>
            </w:r>
          </w:p>
        </w:tc>
        <w:tc>
          <w:tcPr>
            <w:tcW w:w="1620" w:type="dxa"/>
          </w:tcPr>
          <w:p w14:paraId="28D8708B" w14:textId="77777777" w:rsidR="00AC43F7" w:rsidRPr="00B70844" w:rsidRDefault="00AC43F7" w:rsidP="00FA0B5E">
            <w:pPr>
              <w:pStyle w:val="Names"/>
            </w:pPr>
            <w:proofErr w:type="spellStart"/>
            <w:r w:rsidRPr="00B70844">
              <w:t>Okutsu</w:t>
            </w:r>
            <w:proofErr w:type="spellEnd"/>
          </w:p>
        </w:tc>
        <w:tc>
          <w:tcPr>
            <w:tcW w:w="4320" w:type="dxa"/>
          </w:tcPr>
          <w:p w14:paraId="12624F0E" w14:textId="77777777" w:rsidR="00AC43F7" w:rsidRPr="00FA0B5E" w:rsidRDefault="00AC43F7" w:rsidP="00FA0B5E">
            <w:pPr>
              <w:pStyle w:val="Names"/>
            </w:pPr>
            <w:r w:rsidRPr="006F30F9">
              <w:t>Honeywell Aerospace</w:t>
            </w:r>
          </w:p>
        </w:tc>
        <w:tc>
          <w:tcPr>
            <w:tcW w:w="2700" w:type="dxa"/>
          </w:tcPr>
          <w:p w14:paraId="607F754B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495F89C1" w14:textId="77777777" w:rsidTr="001B377E">
        <w:tc>
          <w:tcPr>
            <w:tcW w:w="295" w:type="dxa"/>
          </w:tcPr>
          <w:p w14:paraId="33DE59EB" w14:textId="77777777" w:rsidR="00AC43F7" w:rsidRPr="00FA0B5E" w:rsidRDefault="00AC43F7" w:rsidP="00673671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742C4DA1" w14:textId="77777777" w:rsidR="00AC43F7" w:rsidRPr="00FA0B5E" w:rsidRDefault="00AC43F7" w:rsidP="00673671">
            <w:pPr>
              <w:pStyle w:val="Names"/>
            </w:pPr>
            <w:r>
              <w:t>Richard</w:t>
            </w:r>
          </w:p>
        </w:tc>
        <w:tc>
          <w:tcPr>
            <w:tcW w:w="1620" w:type="dxa"/>
          </w:tcPr>
          <w:p w14:paraId="62AB21B5" w14:textId="77777777" w:rsidR="00AC43F7" w:rsidRPr="00B70844" w:rsidRDefault="00AC43F7" w:rsidP="00673671">
            <w:pPr>
              <w:pStyle w:val="Names"/>
            </w:pPr>
            <w:r w:rsidRPr="00B70844">
              <w:t>Rumas</w:t>
            </w:r>
          </w:p>
        </w:tc>
        <w:tc>
          <w:tcPr>
            <w:tcW w:w="4320" w:type="dxa"/>
          </w:tcPr>
          <w:p w14:paraId="5A38FF22" w14:textId="77777777" w:rsidR="00AC43F7" w:rsidRPr="00FA0B5E" w:rsidRDefault="00AC43F7" w:rsidP="00673671">
            <w:pPr>
              <w:pStyle w:val="Names"/>
            </w:pPr>
            <w:r w:rsidRPr="00D62FAB">
              <w:t>Honeywell Aerospace</w:t>
            </w:r>
          </w:p>
        </w:tc>
        <w:tc>
          <w:tcPr>
            <w:tcW w:w="2700" w:type="dxa"/>
          </w:tcPr>
          <w:p w14:paraId="57A0A825" w14:textId="77777777" w:rsidR="00AC43F7" w:rsidRDefault="00AC43F7" w:rsidP="00673671">
            <w:pPr>
              <w:pStyle w:val="Names"/>
            </w:pPr>
            <w:r w:rsidRPr="00AC43F7">
              <w:t>Chairperson</w:t>
            </w:r>
          </w:p>
        </w:tc>
      </w:tr>
      <w:tr w:rsidR="00AC43F7" w:rsidRPr="00FA0B5E" w14:paraId="43438151" w14:textId="77777777" w:rsidTr="001B377E">
        <w:tc>
          <w:tcPr>
            <w:tcW w:w="295" w:type="dxa"/>
          </w:tcPr>
          <w:p w14:paraId="6F62E275" w14:textId="77777777" w:rsidR="00AC43F7" w:rsidRPr="00FA0B5E" w:rsidRDefault="00AC43F7" w:rsidP="00FA0B5E">
            <w:pPr>
              <w:pStyle w:val="Names"/>
            </w:pPr>
          </w:p>
        </w:tc>
        <w:tc>
          <w:tcPr>
            <w:tcW w:w="1368" w:type="dxa"/>
          </w:tcPr>
          <w:p w14:paraId="3F969CCA" w14:textId="77777777" w:rsidR="00AC43F7" w:rsidRPr="00FA0B5E" w:rsidRDefault="00AC43F7" w:rsidP="00FA0B5E">
            <w:pPr>
              <w:pStyle w:val="Names"/>
            </w:pPr>
            <w:r>
              <w:t xml:space="preserve">Scott </w:t>
            </w:r>
          </w:p>
        </w:tc>
        <w:tc>
          <w:tcPr>
            <w:tcW w:w="1620" w:type="dxa"/>
          </w:tcPr>
          <w:p w14:paraId="1009B5A5" w14:textId="77777777" w:rsidR="00AC43F7" w:rsidRPr="00B70844" w:rsidRDefault="00AC43F7" w:rsidP="00FA0B5E">
            <w:pPr>
              <w:pStyle w:val="Names"/>
            </w:pPr>
            <w:r w:rsidRPr="00B70844">
              <w:t>Severson</w:t>
            </w:r>
          </w:p>
        </w:tc>
        <w:tc>
          <w:tcPr>
            <w:tcW w:w="4320" w:type="dxa"/>
          </w:tcPr>
          <w:p w14:paraId="5F8A40A0" w14:textId="77777777" w:rsidR="00AC43F7" w:rsidRPr="00FA0B5E" w:rsidRDefault="00AC43F7" w:rsidP="00FA0B5E">
            <w:pPr>
              <w:pStyle w:val="Names"/>
            </w:pPr>
            <w:r>
              <w:t>Rockwell Collins</w:t>
            </w:r>
          </w:p>
        </w:tc>
        <w:tc>
          <w:tcPr>
            <w:tcW w:w="2700" w:type="dxa"/>
          </w:tcPr>
          <w:p w14:paraId="55DE111E" w14:textId="77777777" w:rsidR="00AC43F7" w:rsidRDefault="00AC43F7" w:rsidP="00FA0B5E">
            <w:pPr>
              <w:pStyle w:val="Names"/>
            </w:pPr>
          </w:p>
        </w:tc>
      </w:tr>
      <w:tr w:rsidR="00AC43F7" w:rsidRPr="00FA0B5E" w14:paraId="537D5EAA" w14:textId="77777777" w:rsidTr="001B377E">
        <w:trPr>
          <w:trHeight w:val="63"/>
        </w:trPr>
        <w:tc>
          <w:tcPr>
            <w:tcW w:w="295" w:type="dxa"/>
          </w:tcPr>
          <w:p w14:paraId="0FC4DCF7" w14:textId="77777777" w:rsidR="00AC43F7" w:rsidRPr="00FA0B5E" w:rsidRDefault="00AC43F7" w:rsidP="00FA0B5E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0E5DAFB9" w14:textId="77777777" w:rsidR="00AC43F7" w:rsidRPr="00FA0B5E" w:rsidRDefault="00AC43F7" w:rsidP="00FA0B5E">
            <w:pPr>
              <w:pStyle w:val="Names"/>
            </w:pPr>
            <w:r w:rsidRPr="00507CA7">
              <w:t xml:space="preserve">Gilbert </w:t>
            </w:r>
          </w:p>
        </w:tc>
        <w:tc>
          <w:tcPr>
            <w:tcW w:w="1620" w:type="dxa"/>
          </w:tcPr>
          <w:p w14:paraId="3B2B0454" w14:textId="77777777" w:rsidR="00AC43F7" w:rsidRPr="00B70844" w:rsidRDefault="00AC43F7" w:rsidP="00FA0B5E">
            <w:pPr>
              <w:pStyle w:val="Names"/>
            </w:pPr>
            <w:r w:rsidRPr="00B70844">
              <w:t>Shelby</w:t>
            </w:r>
          </w:p>
        </w:tc>
        <w:tc>
          <w:tcPr>
            <w:tcW w:w="4320" w:type="dxa"/>
          </w:tcPr>
          <w:p w14:paraId="7C51E639" w14:textId="77777777" w:rsidR="00AC43F7" w:rsidRPr="00FA0B5E" w:rsidRDefault="00AC43F7" w:rsidP="00FA0B5E">
            <w:pPr>
              <w:pStyle w:val="Names"/>
            </w:pPr>
            <w:r w:rsidRPr="00507CA7">
              <w:t>Raytheon Company</w:t>
            </w:r>
          </w:p>
        </w:tc>
        <w:tc>
          <w:tcPr>
            <w:tcW w:w="2700" w:type="dxa"/>
          </w:tcPr>
          <w:p w14:paraId="6CFA257F" w14:textId="77777777" w:rsidR="00AC43F7" w:rsidRDefault="00AC43F7" w:rsidP="00FA0B5E">
            <w:pPr>
              <w:pStyle w:val="Names"/>
            </w:pPr>
          </w:p>
        </w:tc>
      </w:tr>
    </w:tbl>
    <w:p w14:paraId="267D89A5" w14:textId="77777777"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368"/>
        <w:gridCol w:w="1620"/>
        <w:gridCol w:w="4320"/>
        <w:gridCol w:w="2700"/>
      </w:tblGrid>
      <w:tr w:rsidR="00272E48" w:rsidRPr="00FA0B5E" w14:paraId="267D89AB" w14:textId="77777777" w:rsidTr="001B377E">
        <w:tc>
          <w:tcPr>
            <w:tcW w:w="295" w:type="dxa"/>
          </w:tcPr>
          <w:p w14:paraId="267D89A6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368" w:type="dxa"/>
          </w:tcPr>
          <w:p w14:paraId="267D89A7" w14:textId="77777777" w:rsidR="00272E48" w:rsidRPr="00FA0B5E" w:rsidRDefault="00272E48" w:rsidP="00321EAD">
            <w:pPr>
              <w:pStyle w:val="Names"/>
            </w:pPr>
            <w:r w:rsidRPr="00FA0B5E">
              <w:t>NAME</w:t>
            </w:r>
          </w:p>
        </w:tc>
        <w:tc>
          <w:tcPr>
            <w:tcW w:w="1620" w:type="dxa"/>
          </w:tcPr>
          <w:p w14:paraId="267D89A8" w14:textId="77777777" w:rsidR="00272E48" w:rsidRPr="00FA0B5E" w:rsidRDefault="00272E48" w:rsidP="007E5384">
            <w:pPr>
              <w:pStyle w:val="Names"/>
            </w:pPr>
          </w:p>
        </w:tc>
        <w:tc>
          <w:tcPr>
            <w:tcW w:w="4320" w:type="dxa"/>
          </w:tcPr>
          <w:p w14:paraId="267D89A9" w14:textId="77777777" w:rsidR="00272E48" w:rsidRPr="00FA0B5E" w:rsidRDefault="00272E48" w:rsidP="00321EAD">
            <w:pPr>
              <w:pStyle w:val="Names"/>
            </w:pPr>
            <w:r w:rsidRPr="00FA0B5E">
              <w:t>COMPANY NAME</w:t>
            </w:r>
          </w:p>
        </w:tc>
        <w:tc>
          <w:tcPr>
            <w:tcW w:w="2700" w:type="dxa"/>
          </w:tcPr>
          <w:p w14:paraId="267D89AA" w14:textId="77777777" w:rsidR="00272E48" w:rsidRPr="00FA0B5E" w:rsidRDefault="00272E48" w:rsidP="00321EAD">
            <w:pPr>
              <w:pStyle w:val="Names"/>
            </w:pPr>
          </w:p>
        </w:tc>
      </w:tr>
      <w:tr w:rsidR="00272E48" w:rsidRPr="00FA0B5E" w14:paraId="267D89B1" w14:textId="77777777" w:rsidTr="001B377E">
        <w:tc>
          <w:tcPr>
            <w:tcW w:w="295" w:type="dxa"/>
          </w:tcPr>
          <w:p w14:paraId="267D89AC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368" w:type="dxa"/>
          </w:tcPr>
          <w:p w14:paraId="267D89AD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620" w:type="dxa"/>
          </w:tcPr>
          <w:p w14:paraId="267D89AE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4320" w:type="dxa"/>
          </w:tcPr>
          <w:p w14:paraId="267D89AF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2700" w:type="dxa"/>
          </w:tcPr>
          <w:p w14:paraId="267D89B0" w14:textId="77777777" w:rsidR="00272E48" w:rsidRPr="00FA0B5E" w:rsidRDefault="00272E48" w:rsidP="00321EAD">
            <w:pPr>
              <w:pStyle w:val="Names"/>
            </w:pPr>
          </w:p>
        </w:tc>
      </w:tr>
      <w:tr w:rsidR="00AC43F7" w:rsidRPr="00FA0B5E" w14:paraId="44A0B9A2" w14:textId="77777777" w:rsidTr="001B377E">
        <w:tc>
          <w:tcPr>
            <w:tcW w:w="295" w:type="dxa"/>
          </w:tcPr>
          <w:p w14:paraId="4B24CB54" w14:textId="5A324974" w:rsidR="00AC43F7" w:rsidRPr="00FA0B5E" w:rsidRDefault="00AC43F7" w:rsidP="00321EAD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5D9930B4" w14:textId="5809C881" w:rsidR="00AC43F7" w:rsidRPr="00FA0B5E" w:rsidRDefault="00AC43F7" w:rsidP="00321EAD">
            <w:pPr>
              <w:pStyle w:val="Names"/>
            </w:pPr>
            <w:r>
              <w:t xml:space="preserve">Jim </w:t>
            </w:r>
          </w:p>
        </w:tc>
        <w:tc>
          <w:tcPr>
            <w:tcW w:w="1620" w:type="dxa"/>
          </w:tcPr>
          <w:p w14:paraId="58EE4567" w14:textId="0A5DDEB9" w:rsidR="00AC43F7" w:rsidRPr="00B70844" w:rsidRDefault="00AC43F7" w:rsidP="00321EAD">
            <w:pPr>
              <w:pStyle w:val="Names"/>
            </w:pPr>
            <w:r w:rsidRPr="00B70844">
              <w:t>Barry</w:t>
            </w:r>
          </w:p>
        </w:tc>
        <w:tc>
          <w:tcPr>
            <w:tcW w:w="4320" w:type="dxa"/>
          </w:tcPr>
          <w:p w14:paraId="47E95C5B" w14:textId="5F9ED812" w:rsidR="00AC43F7" w:rsidRPr="00FA0B5E" w:rsidRDefault="00AC43F7" w:rsidP="00321EAD">
            <w:pPr>
              <w:pStyle w:val="Names"/>
            </w:pPr>
            <w:proofErr w:type="spellStart"/>
            <w:r w:rsidRPr="00AC43F7">
              <w:t>Eltek</w:t>
            </w:r>
            <w:proofErr w:type="spellEnd"/>
            <w:r w:rsidRPr="00AC43F7">
              <w:t xml:space="preserve"> USA Inc</w:t>
            </w:r>
            <w:r w:rsidR="001B377E">
              <w:t>.</w:t>
            </w:r>
          </w:p>
        </w:tc>
        <w:tc>
          <w:tcPr>
            <w:tcW w:w="2700" w:type="dxa"/>
          </w:tcPr>
          <w:p w14:paraId="5E88E407" w14:textId="77777777" w:rsidR="00AC43F7" w:rsidRPr="00FA0B5E" w:rsidRDefault="00AC43F7" w:rsidP="00321EAD">
            <w:pPr>
              <w:pStyle w:val="Names"/>
            </w:pPr>
          </w:p>
        </w:tc>
      </w:tr>
      <w:tr w:rsidR="00AC43F7" w:rsidRPr="00FA0B5E" w14:paraId="50613C57" w14:textId="77777777" w:rsidTr="001B377E">
        <w:tc>
          <w:tcPr>
            <w:tcW w:w="295" w:type="dxa"/>
          </w:tcPr>
          <w:p w14:paraId="150F5A46" w14:textId="5638D18A" w:rsidR="00AC43F7" w:rsidRPr="00FA0B5E" w:rsidRDefault="00AC43F7" w:rsidP="00321EAD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0906F438" w14:textId="7C76E156" w:rsidR="00AC43F7" w:rsidRPr="00FA0B5E" w:rsidRDefault="00AC43F7" w:rsidP="00321EAD">
            <w:pPr>
              <w:pStyle w:val="Names"/>
            </w:pPr>
            <w:r>
              <w:t>Cristiano</w:t>
            </w:r>
          </w:p>
        </w:tc>
        <w:tc>
          <w:tcPr>
            <w:tcW w:w="1620" w:type="dxa"/>
          </w:tcPr>
          <w:p w14:paraId="6AD3B214" w14:textId="77AF9B45" w:rsidR="00AC43F7" w:rsidRPr="00B70844" w:rsidRDefault="00AC43F7" w:rsidP="00321EAD">
            <w:pPr>
              <w:pStyle w:val="Names"/>
            </w:pPr>
            <w:r w:rsidRPr="00B70844">
              <w:t>Bazzi</w:t>
            </w:r>
          </w:p>
        </w:tc>
        <w:tc>
          <w:tcPr>
            <w:tcW w:w="4320" w:type="dxa"/>
          </w:tcPr>
          <w:p w14:paraId="566389C6" w14:textId="72260EEA" w:rsidR="00AC43F7" w:rsidRPr="00FA0B5E" w:rsidRDefault="00AC43F7" w:rsidP="001B377E">
            <w:pPr>
              <w:pStyle w:val="Names"/>
            </w:pPr>
            <w:proofErr w:type="spellStart"/>
            <w:r w:rsidRPr="00AC43F7">
              <w:t>Somacis</w:t>
            </w:r>
            <w:proofErr w:type="spellEnd"/>
            <w:r w:rsidRPr="00AC43F7">
              <w:t xml:space="preserve"> S</w:t>
            </w:r>
            <w:r w:rsidR="00A03E5F">
              <w:t>.</w:t>
            </w:r>
            <w:r w:rsidRPr="00AC43F7">
              <w:t>p</w:t>
            </w:r>
            <w:r w:rsidR="00A03E5F">
              <w:t>.</w:t>
            </w:r>
            <w:r w:rsidRPr="00AC43F7">
              <w:t>A</w:t>
            </w:r>
            <w:r w:rsidR="00A03E5F">
              <w:t>.</w:t>
            </w:r>
          </w:p>
        </w:tc>
        <w:tc>
          <w:tcPr>
            <w:tcW w:w="2700" w:type="dxa"/>
          </w:tcPr>
          <w:p w14:paraId="43A948F8" w14:textId="77777777" w:rsidR="00AC43F7" w:rsidRPr="00FA0B5E" w:rsidRDefault="00AC43F7" w:rsidP="00321EAD">
            <w:pPr>
              <w:pStyle w:val="Names"/>
            </w:pPr>
          </w:p>
        </w:tc>
      </w:tr>
      <w:tr w:rsidR="00AC43F7" w:rsidRPr="00FA0B5E" w14:paraId="30172D3D" w14:textId="77777777" w:rsidTr="001B377E">
        <w:tc>
          <w:tcPr>
            <w:tcW w:w="295" w:type="dxa"/>
          </w:tcPr>
          <w:p w14:paraId="69CD48C5" w14:textId="77777777" w:rsidR="00AC43F7" w:rsidRPr="00FA0B5E" w:rsidRDefault="00AC43F7" w:rsidP="00321EAD">
            <w:pPr>
              <w:pStyle w:val="Names"/>
            </w:pPr>
          </w:p>
        </w:tc>
        <w:tc>
          <w:tcPr>
            <w:tcW w:w="1368" w:type="dxa"/>
          </w:tcPr>
          <w:p w14:paraId="036D9559" w14:textId="77777777" w:rsidR="00AC43F7" w:rsidRPr="00FA0B5E" w:rsidRDefault="00AC43F7" w:rsidP="00321EAD">
            <w:pPr>
              <w:pStyle w:val="Names"/>
            </w:pPr>
            <w:r>
              <w:t>Peter</w:t>
            </w:r>
          </w:p>
        </w:tc>
        <w:tc>
          <w:tcPr>
            <w:tcW w:w="1620" w:type="dxa"/>
          </w:tcPr>
          <w:p w14:paraId="1E071A67" w14:textId="77777777" w:rsidR="00AC43F7" w:rsidRPr="00B70844" w:rsidRDefault="00AC43F7" w:rsidP="00321EAD">
            <w:pPr>
              <w:pStyle w:val="Names"/>
            </w:pPr>
            <w:r w:rsidRPr="00B70844">
              <w:t>Kaiser</w:t>
            </w:r>
          </w:p>
        </w:tc>
        <w:tc>
          <w:tcPr>
            <w:tcW w:w="4320" w:type="dxa"/>
          </w:tcPr>
          <w:p w14:paraId="118C9532" w14:textId="77777777" w:rsidR="00AC43F7" w:rsidRPr="00FA0B5E" w:rsidRDefault="00AC43F7" w:rsidP="00321EAD">
            <w:pPr>
              <w:pStyle w:val="Names"/>
            </w:pPr>
            <w:r>
              <w:t>Curtiss-Wright - Defense Solutions</w:t>
            </w:r>
          </w:p>
        </w:tc>
        <w:tc>
          <w:tcPr>
            <w:tcW w:w="2700" w:type="dxa"/>
          </w:tcPr>
          <w:p w14:paraId="59446658" w14:textId="77777777" w:rsidR="00AC43F7" w:rsidRPr="00FA0B5E" w:rsidRDefault="00AC43F7" w:rsidP="00321EAD">
            <w:pPr>
              <w:pStyle w:val="Names"/>
            </w:pPr>
          </w:p>
        </w:tc>
      </w:tr>
      <w:tr w:rsidR="00AC43F7" w:rsidRPr="00FA0B5E" w14:paraId="752637A2" w14:textId="77777777" w:rsidTr="001B377E">
        <w:tc>
          <w:tcPr>
            <w:tcW w:w="295" w:type="dxa"/>
          </w:tcPr>
          <w:p w14:paraId="042F4CE3" w14:textId="77777777" w:rsidR="00AC43F7" w:rsidRPr="00FA0B5E" w:rsidRDefault="00AC43F7" w:rsidP="00321EAD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25A55E22" w14:textId="77777777" w:rsidR="00AC43F7" w:rsidRPr="00FA0B5E" w:rsidRDefault="00AC43F7" w:rsidP="00321EAD">
            <w:pPr>
              <w:pStyle w:val="Names"/>
            </w:pPr>
            <w:r>
              <w:t>Jose</w:t>
            </w:r>
          </w:p>
        </w:tc>
        <w:tc>
          <w:tcPr>
            <w:tcW w:w="1620" w:type="dxa"/>
          </w:tcPr>
          <w:p w14:paraId="541904A2" w14:textId="77777777" w:rsidR="00AC43F7" w:rsidRPr="00B70844" w:rsidRDefault="00AC43F7" w:rsidP="00321EAD">
            <w:pPr>
              <w:pStyle w:val="Names"/>
            </w:pPr>
            <w:r w:rsidRPr="00B70844">
              <w:t>Lages</w:t>
            </w:r>
          </w:p>
        </w:tc>
        <w:tc>
          <w:tcPr>
            <w:tcW w:w="4320" w:type="dxa"/>
          </w:tcPr>
          <w:p w14:paraId="5ED3A33A" w14:textId="77777777" w:rsidR="00AC43F7" w:rsidRPr="00FA0B5E" w:rsidRDefault="00AC43F7" w:rsidP="00321EAD">
            <w:pPr>
              <w:pStyle w:val="Names"/>
            </w:pPr>
            <w:proofErr w:type="spellStart"/>
            <w:r w:rsidRPr="00D66FA7">
              <w:t>Meggitt</w:t>
            </w:r>
            <w:proofErr w:type="spellEnd"/>
            <w:r w:rsidRPr="00D66FA7">
              <w:t xml:space="preserve"> Sensing Systems</w:t>
            </w:r>
          </w:p>
        </w:tc>
        <w:tc>
          <w:tcPr>
            <w:tcW w:w="2700" w:type="dxa"/>
          </w:tcPr>
          <w:p w14:paraId="7829C2E1" w14:textId="77777777" w:rsidR="00AC43F7" w:rsidRPr="00FA0B5E" w:rsidRDefault="00AC43F7" w:rsidP="00321EAD">
            <w:pPr>
              <w:pStyle w:val="Names"/>
            </w:pPr>
          </w:p>
        </w:tc>
      </w:tr>
      <w:tr w:rsidR="00AC43F7" w:rsidRPr="00FA0B5E" w14:paraId="7C86DECB" w14:textId="77777777" w:rsidTr="001B377E">
        <w:tc>
          <w:tcPr>
            <w:tcW w:w="295" w:type="dxa"/>
          </w:tcPr>
          <w:p w14:paraId="56313278" w14:textId="77777777" w:rsidR="00AC43F7" w:rsidRPr="00FA0B5E" w:rsidRDefault="00AC43F7" w:rsidP="00321EAD">
            <w:pPr>
              <w:pStyle w:val="Names"/>
            </w:pPr>
          </w:p>
        </w:tc>
        <w:tc>
          <w:tcPr>
            <w:tcW w:w="1368" w:type="dxa"/>
          </w:tcPr>
          <w:p w14:paraId="3869FFBC" w14:textId="77777777" w:rsidR="00AC43F7" w:rsidRPr="00FA0B5E" w:rsidRDefault="00AC43F7" w:rsidP="00321EAD">
            <w:pPr>
              <w:pStyle w:val="Names"/>
            </w:pPr>
            <w:r>
              <w:t>Stephanie</w:t>
            </w:r>
          </w:p>
        </w:tc>
        <w:tc>
          <w:tcPr>
            <w:tcW w:w="1620" w:type="dxa"/>
          </w:tcPr>
          <w:p w14:paraId="5584967A" w14:textId="77777777" w:rsidR="00AC43F7" w:rsidRPr="00B70844" w:rsidRDefault="00AC43F7" w:rsidP="00321EAD">
            <w:pPr>
              <w:pStyle w:val="Names"/>
            </w:pPr>
            <w:r w:rsidRPr="00B70844">
              <w:t>Nichols</w:t>
            </w:r>
          </w:p>
        </w:tc>
        <w:tc>
          <w:tcPr>
            <w:tcW w:w="4320" w:type="dxa"/>
          </w:tcPr>
          <w:p w14:paraId="5A8DB596" w14:textId="6BD42665" w:rsidR="00AC43F7" w:rsidRPr="00FA0B5E" w:rsidRDefault="00AC43F7" w:rsidP="00321EAD">
            <w:pPr>
              <w:pStyle w:val="Names"/>
            </w:pPr>
            <w:r>
              <w:t>IEC Electronics Corp</w:t>
            </w:r>
            <w:r w:rsidR="001B377E">
              <w:t>.</w:t>
            </w:r>
          </w:p>
        </w:tc>
        <w:tc>
          <w:tcPr>
            <w:tcW w:w="2700" w:type="dxa"/>
          </w:tcPr>
          <w:p w14:paraId="097C3195" w14:textId="77777777" w:rsidR="00AC43F7" w:rsidRPr="00FA0B5E" w:rsidRDefault="00AC43F7" w:rsidP="00321EAD">
            <w:pPr>
              <w:pStyle w:val="Names"/>
            </w:pPr>
          </w:p>
        </w:tc>
      </w:tr>
      <w:tr w:rsidR="00AC43F7" w:rsidRPr="00FA0B5E" w14:paraId="3D48D064" w14:textId="77777777" w:rsidTr="001B377E">
        <w:tc>
          <w:tcPr>
            <w:tcW w:w="295" w:type="dxa"/>
          </w:tcPr>
          <w:p w14:paraId="5D1DFE64" w14:textId="77777777" w:rsidR="00AC43F7" w:rsidRPr="00FA0B5E" w:rsidRDefault="00AC43F7" w:rsidP="00321EAD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62B52AB4" w14:textId="77777777" w:rsidR="00AC43F7" w:rsidRPr="00FA0B5E" w:rsidRDefault="00AC43F7" w:rsidP="00321EAD">
            <w:pPr>
              <w:pStyle w:val="Names"/>
            </w:pPr>
            <w:r>
              <w:t>Douglas</w:t>
            </w:r>
          </w:p>
        </w:tc>
        <w:tc>
          <w:tcPr>
            <w:tcW w:w="1620" w:type="dxa"/>
          </w:tcPr>
          <w:p w14:paraId="5B341634" w14:textId="77777777" w:rsidR="00AC43F7" w:rsidRPr="00B70844" w:rsidRDefault="00AC43F7" w:rsidP="00321EAD">
            <w:pPr>
              <w:pStyle w:val="Names"/>
            </w:pPr>
            <w:r w:rsidRPr="00B70844">
              <w:t>Schueller</w:t>
            </w:r>
          </w:p>
        </w:tc>
        <w:tc>
          <w:tcPr>
            <w:tcW w:w="4320" w:type="dxa"/>
          </w:tcPr>
          <w:p w14:paraId="7844A86C" w14:textId="77777777" w:rsidR="00AC43F7" w:rsidRPr="00FA0B5E" w:rsidRDefault="00AC43F7" w:rsidP="00321EAD">
            <w:pPr>
              <w:pStyle w:val="Names"/>
            </w:pPr>
            <w:proofErr w:type="spellStart"/>
            <w:r w:rsidRPr="006F30F9">
              <w:t>AbelConn</w:t>
            </w:r>
            <w:proofErr w:type="spellEnd"/>
            <w:r w:rsidRPr="006F30F9">
              <w:t xml:space="preserve"> LLC</w:t>
            </w:r>
          </w:p>
        </w:tc>
        <w:tc>
          <w:tcPr>
            <w:tcW w:w="2700" w:type="dxa"/>
          </w:tcPr>
          <w:p w14:paraId="7CFE27C6" w14:textId="77777777" w:rsidR="00AC43F7" w:rsidRPr="00FA0B5E" w:rsidRDefault="00AC43F7" w:rsidP="00321EAD">
            <w:pPr>
              <w:pStyle w:val="Names"/>
            </w:pPr>
          </w:p>
        </w:tc>
      </w:tr>
      <w:tr w:rsidR="00AC43F7" w:rsidRPr="00FA0B5E" w14:paraId="36805F92" w14:textId="77777777" w:rsidTr="001B377E">
        <w:tc>
          <w:tcPr>
            <w:tcW w:w="295" w:type="dxa"/>
          </w:tcPr>
          <w:p w14:paraId="2D6F50BD" w14:textId="77777777" w:rsidR="00AC43F7" w:rsidRPr="00FA0B5E" w:rsidRDefault="00AC43F7" w:rsidP="00321EAD">
            <w:pPr>
              <w:pStyle w:val="Names"/>
            </w:pPr>
            <w:r>
              <w:t>*</w:t>
            </w:r>
          </w:p>
        </w:tc>
        <w:tc>
          <w:tcPr>
            <w:tcW w:w="1368" w:type="dxa"/>
          </w:tcPr>
          <w:p w14:paraId="22793648" w14:textId="77777777" w:rsidR="00AC43F7" w:rsidRPr="00FA0B5E" w:rsidRDefault="00AC43F7" w:rsidP="006F30F9">
            <w:pPr>
              <w:pStyle w:val="Names"/>
            </w:pPr>
            <w:r w:rsidRPr="006F30F9">
              <w:t xml:space="preserve">Juan </w:t>
            </w:r>
          </w:p>
        </w:tc>
        <w:tc>
          <w:tcPr>
            <w:tcW w:w="1620" w:type="dxa"/>
          </w:tcPr>
          <w:p w14:paraId="1F2436E9" w14:textId="77777777" w:rsidR="00AC43F7" w:rsidRPr="00B70844" w:rsidRDefault="00AC43F7" w:rsidP="00321EAD">
            <w:pPr>
              <w:pStyle w:val="Names"/>
            </w:pPr>
            <w:r w:rsidRPr="00B70844">
              <w:t>Vasquez</w:t>
            </w:r>
          </w:p>
        </w:tc>
        <w:tc>
          <w:tcPr>
            <w:tcW w:w="4320" w:type="dxa"/>
          </w:tcPr>
          <w:p w14:paraId="4B5B3873" w14:textId="77777777" w:rsidR="00AC43F7" w:rsidRPr="00FA0B5E" w:rsidRDefault="00AC43F7" w:rsidP="00321EAD">
            <w:pPr>
              <w:pStyle w:val="Names"/>
            </w:pPr>
            <w:proofErr w:type="spellStart"/>
            <w:r w:rsidRPr="006F30F9">
              <w:t>Viasystems</w:t>
            </w:r>
            <w:proofErr w:type="spellEnd"/>
            <w:r w:rsidRPr="006F30F9">
              <w:t xml:space="preserve"> North American Operations</w:t>
            </w:r>
          </w:p>
        </w:tc>
        <w:tc>
          <w:tcPr>
            <w:tcW w:w="2700" w:type="dxa"/>
          </w:tcPr>
          <w:p w14:paraId="05916946" w14:textId="77777777" w:rsidR="00AC43F7" w:rsidRPr="00FA0B5E" w:rsidRDefault="00AC43F7" w:rsidP="00321EAD">
            <w:pPr>
              <w:pStyle w:val="Names"/>
            </w:pPr>
          </w:p>
        </w:tc>
      </w:tr>
      <w:tr w:rsidR="00D66FA7" w:rsidRPr="00FA0B5E" w14:paraId="75ACE1FF" w14:textId="77777777" w:rsidTr="001B377E">
        <w:tc>
          <w:tcPr>
            <w:tcW w:w="295" w:type="dxa"/>
          </w:tcPr>
          <w:p w14:paraId="49A7F642" w14:textId="77777777" w:rsidR="00D66FA7" w:rsidRPr="00FA0B5E" w:rsidRDefault="00D66FA7" w:rsidP="00321EAD">
            <w:pPr>
              <w:pStyle w:val="Names"/>
            </w:pPr>
          </w:p>
        </w:tc>
        <w:tc>
          <w:tcPr>
            <w:tcW w:w="1368" w:type="dxa"/>
          </w:tcPr>
          <w:p w14:paraId="4B9F136C" w14:textId="77777777" w:rsidR="00D66FA7" w:rsidRPr="00FA0B5E" w:rsidRDefault="00D66FA7" w:rsidP="00321EAD">
            <w:pPr>
              <w:pStyle w:val="Names"/>
            </w:pPr>
          </w:p>
        </w:tc>
        <w:tc>
          <w:tcPr>
            <w:tcW w:w="1620" w:type="dxa"/>
          </w:tcPr>
          <w:p w14:paraId="30B90115" w14:textId="77777777" w:rsidR="00D66FA7" w:rsidRPr="00FA0B5E" w:rsidRDefault="00D66FA7" w:rsidP="00321EAD">
            <w:pPr>
              <w:pStyle w:val="Names"/>
            </w:pPr>
          </w:p>
        </w:tc>
        <w:tc>
          <w:tcPr>
            <w:tcW w:w="4320" w:type="dxa"/>
          </w:tcPr>
          <w:p w14:paraId="446B5D38" w14:textId="77777777" w:rsidR="00D66FA7" w:rsidRPr="00FA0B5E" w:rsidRDefault="00D66FA7" w:rsidP="00321EAD">
            <w:pPr>
              <w:pStyle w:val="Names"/>
            </w:pPr>
          </w:p>
        </w:tc>
        <w:tc>
          <w:tcPr>
            <w:tcW w:w="2700" w:type="dxa"/>
          </w:tcPr>
          <w:p w14:paraId="65E3F7F8" w14:textId="77777777" w:rsidR="00D66FA7" w:rsidRPr="00FA0B5E" w:rsidRDefault="00D66FA7" w:rsidP="00321EAD">
            <w:pPr>
              <w:pStyle w:val="Names"/>
            </w:pPr>
          </w:p>
        </w:tc>
      </w:tr>
    </w:tbl>
    <w:p w14:paraId="267D89C4" w14:textId="77777777"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610"/>
      </w:tblGrid>
      <w:tr w:rsidR="00E51455" w:rsidRPr="00FA0B5E" w14:paraId="267D89C7" w14:textId="77777777" w:rsidTr="001B377E">
        <w:tc>
          <w:tcPr>
            <w:tcW w:w="1375" w:type="dxa"/>
          </w:tcPr>
          <w:p w14:paraId="267D89C5" w14:textId="2919195A" w:rsidR="00E51455" w:rsidRPr="00FA0B5E" w:rsidRDefault="00B74246" w:rsidP="00B74246">
            <w:pPr>
              <w:pStyle w:val="Names"/>
            </w:pPr>
            <w:r>
              <w:t xml:space="preserve">Susan </w:t>
            </w:r>
          </w:p>
        </w:tc>
        <w:tc>
          <w:tcPr>
            <w:tcW w:w="2610" w:type="dxa"/>
          </w:tcPr>
          <w:p w14:paraId="267D89C6" w14:textId="36BDC41B" w:rsidR="00E51455" w:rsidRPr="00FA0B5E" w:rsidRDefault="00B74246" w:rsidP="00EB178A">
            <w:pPr>
              <w:pStyle w:val="Names"/>
            </w:pPr>
            <w:r>
              <w:t>Frailey</w:t>
            </w:r>
          </w:p>
        </w:tc>
      </w:tr>
      <w:tr w:rsidR="00E51455" w:rsidRPr="00FA0B5E" w14:paraId="267D89CA" w14:textId="77777777" w:rsidTr="001B377E">
        <w:tc>
          <w:tcPr>
            <w:tcW w:w="1375" w:type="dxa"/>
          </w:tcPr>
          <w:p w14:paraId="267D89C8" w14:textId="55C3A226" w:rsidR="00E51455" w:rsidRPr="00FA0B5E" w:rsidRDefault="00B70844" w:rsidP="00EB178A">
            <w:pPr>
              <w:pStyle w:val="Names"/>
            </w:pPr>
            <w:r>
              <w:t>Julia</w:t>
            </w:r>
          </w:p>
        </w:tc>
        <w:tc>
          <w:tcPr>
            <w:tcW w:w="2610" w:type="dxa"/>
          </w:tcPr>
          <w:p w14:paraId="267D89C9" w14:textId="4D308124" w:rsidR="00E51455" w:rsidRPr="00FA0B5E" w:rsidRDefault="00B70844" w:rsidP="00EB178A">
            <w:pPr>
              <w:pStyle w:val="Names"/>
            </w:pPr>
            <w:r>
              <w:t>Markardt</w:t>
            </w:r>
          </w:p>
        </w:tc>
      </w:tr>
      <w:tr w:rsidR="00E51455" w:rsidRPr="00FA0B5E" w14:paraId="267D89CD" w14:textId="77777777" w:rsidTr="001B377E">
        <w:tc>
          <w:tcPr>
            <w:tcW w:w="1375" w:type="dxa"/>
          </w:tcPr>
          <w:p w14:paraId="267D89CB" w14:textId="063A9525" w:rsidR="00E51455" w:rsidRPr="00FA0B5E" w:rsidRDefault="00E51455" w:rsidP="00EB178A">
            <w:pPr>
              <w:pStyle w:val="Names"/>
            </w:pPr>
          </w:p>
        </w:tc>
        <w:tc>
          <w:tcPr>
            <w:tcW w:w="2610" w:type="dxa"/>
          </w:tcPr>
          <w:p w14:paraId="267D89CC" w14:textId="7262B434" w:rsidR="00E51455" w:rsidRPr="00FA0B5E" w:rsidRDefault="00E51455" w:rsidP="00EB178A">
            <w:pPr>
              <w:pStyle w:val="Names"/>
            </w:pPr>
          </w:p>
        </w:tc>
      </w:tr>
    </w:tbl>
    <w:p w14:paraId="267D89CE" w14:textId="77777777" w:rsidR="003B5FCD" w:rsidRDefault="003B5FCD" w:rsidP="00A97D30">
      <w:pPr>
        <w:pStyle w:val="Heading2"/>
        <w:numPr>
          <w:ilvl w:val="0"/>
          <w:numId w:val="0"/>
        </w:numPr>
        <w:ind w:left="720"/>
      </w:pPr>
    </w:p>
    <w:p w14:paraId="6C04AA28" w14:textId="425D0FD7" w:rsidR="00A97D30" w:rsidRDefault="00A97D30" w:rsidP="00A97D30">
      <w:pPr>
        <w:pStyle w:val="Heading2"/>
      </w:pPr>
      <w:bookmarkStart w:id="1" w:name="_Toc414354214"/>
      <w:bookmarkStart w:id="2" w:name="_Toc414354084"/>
      <w:bookmarkStart w:id="3" w:name="_Toc413649142"/>
      <w:r w:rsidRPr="00A97D30">
        <w:t>Safety Information</w:t>
      </w:r>
      <w:bookmarkEnd w:id="1"/>
      <w:bookmarkEnd w:id="2"/>
      <w:bookmarkEnd w:id="3"/>
    </w:p>
    <w:p w14:paraId="13E1A9A9" w14:textId="4E80E84F" w:rsidR="00A97D30" w:rsidRPr="00A97D30" w:rsidRDefault="00A97D30" w:rsidP="00A97D30">
      <w:pPr>
        <w:pStyle w:val="Body"/>
      </w:pPr>
      <w:r w:rsidRPr="00A97D30">
        <w:t>Review</w:t>
      </w:r>
      <w:r w:rsidR="00B310F7">
        <w:t>ed</w:t>
      </w:r>
      <w:r w:rsidRPr="00A97D30">
        <w:t xml:space="preserve"> </w:t>
      </w:r>
      <w:r w:rsidR="00B310F7">
        <w:t>f</w:t>
      </w:r>
      <w:r w:rsidRPr="00A97D30">
        <w:t xml:space="preserve">ire </w:t>
      </w:r>
      <w:r w:rsidR="00B310F7">
        <w:t>e</w:t>
      </w:r>
      <w:r w:rsidRPr="00A97D30">
        <w:t xml:space="preserve">xits in </w:t>
      </w:r>
      <w:r w:rsidR="00B310F7">
        <w:t>m</w:t>
      </w:r>
      <w:r w:rsidRPr="00A97D30">
        <w:t xml:space="preserve">eeting </w:t>
      </w:r>
      <w:r w:rsidR="00B310F7">
        <w:t>r</w:t>
      </w:r>
      <w:r w:rsidRPr="00A97D30">
        <w:t>oom</w:t>
      </w:r>
    </w:p>
    <w:p w14:paraId="19AE7BFD" w14:textId="0E056479" w:rsidR="00A97D30" w:rsidRDefault="00A97D30" w:rsidP="00A97D30">
      <w:pPr>
        <w:pStyle w:val="Body"/>
      </w:pPr>
      <w:r w:rsidRPr="00A97D30">
        <w:t xml:space="preserve">Inform </w:t>
      </w:r>
      <w:r w:rsidR="00E16222">
        <w:t>Performance Review Institute (</w:t>
      </w:r>
      <w:r w:rsidRPr="00A97D30">
        <w:t>PRI</w:t>
      </w:r>
      <w:r w:rsidR="00E16222">
        <w:t>)</w:t>
      </w:r>
      <w:r w:rsidRPr="00A97D30">
        <w:t xml:space="preserve"> </w:t>
      </w:r>
      <w:r w:rsidR="00CB420C">
        <w:t>s</w:t>
      </w:r>
      <w:r w:rsidRPr="00A97D30">
        <w:t>taff person of any emergencies</w:t>
      </w:r>
    </w:p>
    <w:p w14:paraId="5E33B75C" w14:textId="48F1C709" w:rsidR="00A97D30" w:rsidRPr="00A97D30" w:rsidRDefault="00A97D30" w:rsidP="00A97D30">
      <w:pPr>
        <w:pStyle w:val="Heading2"/>
      </w:pPr>
      <w:r w:rsidRPr="00A97D30">
        <w:t>Review</w:t>
      </w:r>
      <w:r w:rsidR="00A03E5F">
        <w:t xml:space="preserve">ed </w:t>
      </w:r>
      <w:r w:rsidRPr="00A97D30">
        <w:t>Code of Ethi</w:t>
      </w:r>
      <w:r w:rsidR="00CB420C">
        <w:t>cs (Ref: Attendees’ Guide) and m</w:t>
      </w:r>
      <w:r w:rsidRPr="00A97D30">
        <w:t xml:space="preserve">eeting </w:t>
      </w:r>
      <w:r w:rsidR="00CB420C">
        <w:t>c</w:t>
      </w:r>
      <w:r w:rsidRPr="00A97D30">
        <w:t>onduct</w:t>
      </w:r>
    </w:p>
    <w:p w14:paraId="5903F517" w14:textId="7E6D90E9" w:rsidR="00A97D30" w:rsidRPr="00A97D30" w:rsidRDefault="00A97D30" w:rsidP="00A97D30">
      <w:pPr>
        <w:pStyle w:val="Heading2"/>
      </w:pPr>
      <w:bookmarkStart w:id="4" w:name="_Toc414354216"/>
      <w:bookmarkStart w:id="5" w:name="_Toc414354086"/>
      <w:bookmarkStart w:id="6" w:name="_Toc413649144"/>
      <w:bookmarkStart w:id="7" w:name="_Toc403025729"/>
      <w:bookmarkStart w:id="8" w:name="_Toc401912038"/>
      <w:bookmarkStart w:id="9" w:name="_Toc390433492"/>
      <w:bookmarkStart w:id="10" w:name="_Toc390433390"/>
      <w:bookmarkStart w:id="11" w:name="_Toc390433287"/>
      <w:bookmarkStart w:id="12" w:name="_Toc390433082"/>
      <w:bookmarkStart w:id="13" w:name="_Toc390432979"/>
      <w:bookmarkStart w:id="14" w:name="_Toc390432873"/>
      <w:bookmarkStart w:id="15" w:name="_Toc390425478"/>
      <w:bookmarkStart w:id="16" w:name="_Toc390421203"/>
      <w:r w:rsidRPr="00A97D30">
        <w:t>Present</w:t>
      </w:r>
      <w:r w:rsidR="00CB420C">
        <w:t>ed</w:t>
      </w:r>
      <w:r w:rsidRPr="00A97D30">
        <w:t xml:space="preserve"> the Antitrust Video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58230FF" w14:textId="4C5D4962" w:rsidR="00A97D30" w:rsidRPr="00A97D30" w:rsidRDefault="00A97D30" w:rsidP="00A97D30">
      <w:pPr>
        <w:pStyle w:val="Heading2"/>
      </w:pPr>
      <w:bookmarkStart w:id="17" w:name="_Toc414354217"/>
      <w:bookmarkStart w:id="18" w:name="_Toc414354087"/>
      <w:bookmarkStart w:id="19" w:name="_Toc413649145"/>
      <w:bookmarkStart w:id="20" w:name="_Toc403025730"/>
      <w:bookmarkStart w:id="21" w:name="_Toc401912039"/>
      <w:bookmarkStart w:id="22" w:name="_Toc390433493"/>
      <w:bookmarkStart w:id="23" w:name="_Toc390433391"/>
      <w:bookmarkStart w:id="24" w:name="_Toc390433288"/>
      <w:bookmarkStart w:id="25" w:name="_Toc390433083"/>
      <w:bookmarkStart w:id="26" w:name="_Toc390432980"/>
      <w:bookmarkStart w:id="27" w:name="_Toc390432874"/>
      <w:bookmarkStart w:id="28" w:name="_Toc390425479"/>
      <w:bookmarkStart w:id="29" w:name="_Toc390421204"/>
      <w:bookmarkStart w:id="30" w:name="_Toc381691463"/>
      <w:bookmarkStart w:id="31" w:name="_Toc381686845"/>
      <w:bookmarkStart w:id="32" w:name="_Toc381686426"/>
      <w:bookmarkStart w:id="33" w:name="_Toc380153351"/>
      <w:bookmarkStart w:id="34" w:name="_Toc368986510"/>
      <w:bookmarkStart w:id="35" w:name="_Toc360194076"/>
      <w:bookmarkStart w:id="36" w:name="_Toc360193961"/>
      <w:bookmarkStart w:id="37" w:name="_Toc360170409"/>
      <w:bookmarkStart w:id="38" w:name="_Toc360169336"/>
      <w:bookmarkStart w:id="39" w:name="_Toc360168625"/>
      <w:bookmarkStart w:id="40" w:name="_Toc358702803"/>
      <w:bookmarkStart w:id="41" w:name="_Toc358702699"/>
      <w:bookmarkStart w:id="42" w:name="_Toc358702236"/>
      <w:bookmarkStart w:id="43" w:name="_Toc350942127"/>
      <w:bookmarkStart w:id="44" w:name="_Toc350941364"/>
      <w:bookmarkStart w:id="45" w:name="_Toc350941236"/>
      <w:bookmarkStart w:id="46" w:name="_Toc350940889"/>
      <w:bookmarkStart w:id="47" w:name="_Toc350940746"/>
      <w:bookmarkStart w:id="48" w:name="_Toc350940170"/>
      <w:bookmarkStart w:id="49" w:name="_Toc350939947"/>
      <w:bookmarkStart w:id="50" w:name="_Toc350939832"/>
      <w:r w:rsidRPr="00A97D30">
        <w:t>Review</w:t>
      </w:r>
      <w:r w:rsidR="00CB420C">
        <w:t>ed</w:t>
      </w:r>
      <w:r w:rsidRPr="00A97D30">
        <w:t xml:space="preserve"> Agenda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267D89D4" w14:textId="2D2FED90" w:rsidR="00FA0B5E" w:rsidRDefault="000A4141" w:rsidP="000A4141">
      <w:pPr>
        <w:pStyle w:val="Heading1"/>
      </w:pPr>
      <w:r w:rsidRPr="00581AE0">
        <w:t>SUBSCRIBER DISCUSSION</w:t>
      </w:r>
      <w:r w:rsidR="00FA0B5E">
        <w:t xml:space="preserve"> – CLOSED</w:t>
      </w:r>
    </w:p>
    <w:p w14:paraId="1F0AC655" w14:textId="77777777" w:rsidR="000A4141" w:rsidRDefault="000A4141" w:rsidP="000A4141">
      <w:pPr>
        <w:pStyle w:val="Heading2"/>
      </w:pPr>
      <w:bookmarkStart w:id="51" w:name="_Toc414354220"/>
      <w:bookmarkStart w:id="52" w:name="_Toc414354090"/>
      <w:r>
        <w:t>Items considered sensitive / confidential</w:t>
      </w:r>
      <w:bookmarkEnd w:id="51"/>
      <w:bookmarkEnd w:id="52"/>
      <w:r>
        <w:t xml:space="preserve"> </w:t>
      </w:r>
    </w:p>
    <w:p w14:paraId="0AABAC95" w14:textId="77777777" w:rsidR="000A4141" w:rsidRDefault="000A4141" w:rsidP="000A4141">
      <w:pPr>
        <w:pStyle w:val="Heading2"/>
      </w:pPr>
      <w:bookmarkStart w:id="53" w:name="_Toc414354221"/>
      <w:bookmarkStart w:id="54" w:name="_Toc414354091"/>
      <w:r w:rsidRPr="000A4141">
        <w:t>Delegation</w:t>
      </w:r>
      <w:bookmarkEnd w:id="53"/>
      <w:bookmarkEnd w:id="54"/>
    </w:p>
    <w:p w14:paraId="4F718CA6" w14:textId="77777777" w:rsidR="008863F5" w:rsidRDefault="009968E7" w:rsidP="009968E7">
      <w:pPr>
        <w:pStyle w:val="Body"/>
      </w:pPr>
      <w:r>
        <w:t>Reviewed delegation status of staff engineers</w:t>
      </w:r>
      <w:r w:rsidR="008863F5">
        <w:t>, Julia Markardt and Susan Frailey</w:t>
      </w:r>
      <w:r>
        <w:t xml:space="preserve">.  </w:t>
      </w:r>
    </w:p>
    <w:p w14:paraId="4DE0E469" w14:textId="6C94EEF9" w:rsidR="008863F5" w:rsidRPr="009968E7" w:rsidRDefault="008863F5" w:rsidP="008863F5">
      <w:pPr>
        <w:pStyle w:val="Body"/>
      </w:pPr>
      <w:r>
        <w:t xml:space="preserve">Metrics for Julia Markardt </w:t>
      </w:r>
      <w:r w:rsidR="00016D41">
        <w:t xml:space="preserve">were </w:t>
      </w:r>
      <w:r>
        <w:t>reviewed.  Progress is satisfactory, but delegation is postponed until she has completed more audit review packages.</w:t>
      </w:r>
    </w:p>
    <w:p w14:paraId="640D7165" w14:textId="522DA7FA" w:rsidR="009968E7" w:rsidRDefault="009968E7" w:rsidP="009968E7">
      <w:pPr>
        <w:pStyle w:val="Body"/>
      </w:pPr>
      <w:r>
        <w:t xml:space="preserve">Motion made by Scott Meyer and seconded by Bill Cardinal to </w:t>
      </w:r>
      <w:r w:rsidR="008E1E35">
        <w:t>grant delegation for Susan</w:t>
      </w:r>
      <w:r w:rsidR="00AD2DF0">
        <w:t xml:space="preserve"> Frailey</w:t>
      </w:r>
      <w:r w:rsidR="008E1E35">
        <w:t>.  Motion passed.</w:t>
      </w:r>
    </w:p>
    <w:p w14:paraId="6ADF08A4" w14:textId="77777777" w:rsidR="000A4141" w:rsidRDefault="000A4141" w:rsidP="000A4141">
      <w:pPr>
        <w:pStyle w:val="Heading2"/>
      </w:pPr>
      <w:r w:rsidRPr="000A4141">
        <w:t xml:space="preserve">Review Subscriber Matrix </w:t>
      </w:r>
    </w:p>
    <w:p w14:paraId="15E9D948" w14:textId="149A138B" w:rsidR="00C927F1" w:rsidRPr="00C927F1" w:rsidRDefault="00C927F1" w:rsidP="00C927F1">
      <w:pPr>
        <w:pStyle w:val="Body"/>
      </w:pPr>
      <w:r>
        <w:t>Reviewed new additions to the subscriber matrix affecting ETG.</w:t>
      </w:r>
      <w:r w:rsidR="00435908">
        <w:t xml:space="preserve"> No action to take.</w:t>
      </w:r>
    </w:p>
    <w:p w14:paraId="7937F860" w14:textId="77777777" w:rsidR="000A4141" w:rsidRDefault="000A4141" w:rsidP="000A4141">
      <w:pPr>
        <w:pStyle w:val="Heading2"/>
      </w:pPr>
      <w:bookmarkStart w:id="55" w:name="_Toc414354222"/>
      <w:bookmarkStart w:id="56" w:name="_Toc414354092"/>
      <w:r w:rsidRPr="000A4141">
        <w:t>Technical discussions associated with audit packages</w:t>
      </w:r>
      <w:bookmarkEnd w:id="55"/>
      <w:bookmarkEnd w:id="56"/>
      <w:r w:rsidRPr="000A4141">
        <w:t xml:space="preserve"> </w:t>
      </w:r>
    </w:p>
    <w:p w14:paraId="394EC12A" w14:textId="31D50F7E" w:rsidR="00A43173" w:rsidRDefault="00A43173" w:rsidP="00A43173">
      <w:pPr>
        <w:pStyle w:val="Body"/>
      </w:pPr>
      <w:r>
        <w:t xml:space="preserve">Discussed possible extension </w:t>
      </w:r>
      <w:r w:rsidR="00452263">
        <w:t xml:space="preserve">of audit </w:t>
      </w:r>
      <w:r w:rsidR="00CB420C">
        <w:t xml:space="preserve"># </w:t>
      </w:r>
      <w:r w:rsidR="00452263">
        <w:t xml:space="preserve">162962 due to facility move. </w:t>
      </w:r>
      <w:r w:rsidR="00A77E94">
        <w:t>Due to the possibility of additional delays,</w:t>
      </w:r>
      <w:r w:rsidR="00B70844">
        <w:t xml:space="preserve"> the </w:t>
      </w:r>
      <w:r w:rsidR="00A77E94">
        <w:t xml:space="preserve">decision </w:t>
      </w:r>
      <w:r w:rsidR="00B70844">
        <w:t xml:space="preserve">was </w:t>
      </w:r>
      <w:r w:rsidR="00A77E94">
        <w:t xml:space="preserve">made (with the supplier) to proceed with scheduled September </w:t>
      </w:r>
      <w:r w:rsidR="008863F5">
        <w:t xml:space="preserve">2015 </w:t>
      </w:r>
      <w:r w:rsidR="00A77E94">
        <w:t>audit</w:t>
      </w:r>
      <w:r w:rsidR="00B70844">
        <w:t>,</w:t>
      </w:r>
      <w:r w:rsidR="00A77E94">
        <w:t xml:space="preserve"> with a 2-day process audit after the move is performed.</w:t>
      </w:r>
    </w:p>
    <w:p w14:paraId="64E85F19" w14:textId="55C014E9" w:rsidR="00C62EB1" w:rsidRDefault="00C62EB1" w:rsidP="00A43173">
      <w:pPr>
        <w:pStyle w:val="Body"/>
      </w:pPr>
      <w:r>
        <w:t xml:space="preserve">Reviewed NCR 6 of audit </w:t>
      </w:r>
      <w:r w:rsidR="00CB420C">
        <w:t>#</w:t>
      </w:r>
      <w:r>
        <w:t>159919 concerning certification write-up.  Possible incorrect reference by auditor.</w:t>
      </w:r>
    </w:p>
    <w:p w14:paraId="35FD881B" w14:textId="579C9E5B" w:rsidR="00555F68" w:rsidRDefault="00555F68" w:rsidP="00435908">
      <w:pPr>
        <w:pStyle w:val="ActionItem"/>
      </w:pPr>
      <w:r w:rsidRPr="00555F68">
        <w:t>ACTION ITEM</w:t>
      </w:r>
      <w:r>
        <w:t>: Richard Rumas to draft email survey to determine</w:t>
      </w:r>
      <w:r w:rsidR="0058340F">
        <w:t xml:space="preserve"> </w:t>
      </w:r>
      <w:r w:rsidR="00A02904">
        <w:t xml:space="preserve">Association Connecting Electronics Industries </w:t>
      </w:r>
      <w:r w:rsidR="0058340F" w:rsidRPr="0058340F">
        <w:t>(</w:t>
      </w:r>
      <w:r w:rsidRPr="0058340F">
        <w:t>IPC</w:t>
      </w:r>
      <w:r w:rsidR="0058340F" w:rsidRPr="0058340F">
        <w:t>)</w:t>
      </w:r>
      <w:r w:rsidRPr="00E16222">
        <w:rPr>
          <w:color w:val="FF0000"/>
        </w:rPr>
        <w:t xml:space="preserve"> </w:t>
      </w:r>
      <w:r>
        <w:t>certification requirem</w:t>
      </w:r>
      <w:r w:rsidR="00CB420C">
        <w:t xml:space="preserve">ents by subscriber by commodities: </w:t>
      </w:r>
      <w:r w:rsidR="00E16222">
        <w:t>Printed Board</w:t>
      </w:r>
      <w:r w:rsidR="0058340F">
        <w:t xml:space="preserve"> </w:t>
      </w:r>
      <w:r w:rsidR="00E16222">
        <w:t>(</w:t>
      </w:r>
      <w:r>
        <w:t>PB</w:t>
      </w:r>
      <w:r w:rsidR="00E16222">
        <w:t>)</w:t>
      </w:r>
      <w:r>
        <w:t>,</w:t>
      </w:r>
      <w:r w:rsidR="0058340F">
        <w:t xml:space="preserve"> Printed Board Assembly </w:t>
      </w:r>
      <w:r w:rsidR="00E16222">
        <w:t>(</w:t>
      </w:r>
      <w:r>
        <w:t>PBA</w:t>
      </w:r>
      <w:r w:rsidR="00E16222">
        <w:t xml:space="preserve">), Cable and </w:t>
      </w:r>
      <w:r w:rsidR="0058340F">
        <w:t>Harness (</w:t>
      </w:r>
      <w:r>
        <w:t>C&amp;H)</w:t>
      </w:r>
      <w:r w:rsidR="00395525">
        <w:t>.</w:t>
      </w:r>
      <w:r>
        <w:t xml:space="preserve"> </w:t>
      </w:r>
      <w:r w:rsidR="00377E09">
        <w:t>(</w:t>
      </w:r>
      <w:r>
        <w:t>Due Date: 10</w:t>
      </w:r>
      <w:r w:rsidR="00435908">
        <w:t>-</w:t>
      </w:r>
      <w:r>
        <w:t>Jul</w:t>
      </w:r>
      <w:r w:rsidR="00435908">
        <w:t>-</w:t>
      </w:r>
      <w:r w:rsidR="00B07CBD">
        <w:t>2015</w:t>
      </w:r>
      <w:r w:rsidR="00395525">
        <w:t>)</w:t>
      </w:r>
    </w:p>
    <w:p w14:paraId="005DFBD0" w14:textId="43C863E6" w:rsidR="00C62EB1" w:rsidRDefault="00C62EB1" w:rsidP="00435908">
      <w:pPr>
        <w:pStyle w:val="ActionItem"/>
      </w:pPr>
      <w:r w:rsidRPr="00C62EB1">
        <w:t>ACTION ITEM:</w:t>
      </w:r>
      <w:r>
        <w:t xml:space="preserve">  PRI </w:t>
      </w:r>
      <w:r w:rsidR="002667A5">
        <w:t xml:space="preserve">Staff </w:t>
      </w:r>
      <w:r>
        <w:t xml:space="preserve">to send out </w:t>
      </w:r>
      <w:r w:rsidR="00555F68">
        <w:t xml:space="preserve">certification </w:t>
      </w:r>
      <w:r>
        <w:t xml:space="preserve">survey to </w:t>
      </w:r>
      <w:r w:rsidR="00B310F7">
        <w:t>S</w:t>
      </w:r>
      <w:r>
        <w:t xml:space="preserve">ubscribers to determine </w:t>
      </w:r>
      <w:r w:rsidR="00555F68">
        <w:t xml:space="preserve">IPC </w:t>
      </w:r>
      <w:r>
        <w:t xml:space="preserve">certification requirements by </w:t>
      </w:r>
      <w:r w:rsidR="00B310F7">
        <w:t>S</w:t>
      </w:r>
      <w:r>
        <w:t>ubscriber</w:t>
      </w:r>
      <w:r w:rsidR="00B310F7">
        <w:t>,</w:t>
      </w:r>
      <w:r w:rsidR="00CB420C">
        <w:t xml:space="preserve"> by commodities: </w:t>
      </w:r>
      <w:r>
        <w:t xml:space="preserve">PB, PBA, </w:t>
      </w:r>
      <w:proofErr w:type="gramStart"/>
      <w:r>
        <w:t>C</w:t>
      </w:r>
      <w:proofErr w:type="gramEnd"/>
      <w:r>
        <w:t xml:space="preserve">&amp;H. </w:t>
      </w:r>
      <w:r w:rsidR="00395525">
        <w:t>(</w:t>
      </w:r>
      <w:r>
        <w:t xml:space="preserve">Due </w:t>
      </w:r>
      <w:r w:rsidR="00395525">
        <w:t>D</w:t>
      </w:r>
      <w:r>
        <w:t>ate: 31</w:t>
      </w:r>
      <w:r w:rsidR="00B07CBD">
        <w:t>-</w:t>
      </w:r>
      <w:r>
        <w:t>Jul</w:t>
      </w:r>
      <w:r w:rsidR="00B07CBD">
        <w:t>-2015</w:t>
      </w:r>
      <w:r w:rsidR="00395525">
        <w:t>)</w:t>
      </w:r>
    </w:p>
    <w:p w14:paraId="6C6E08F3" w14:textId="548790FD" w:rsidR="00413F65" w:rsidRDefault="00413F65" w:rsidP="00A43173">
      <w:pPr>
        <w:pStyle w:val="Body"/>
      </w:pPr>
      <w:r>
        <w:t xml:space="preserve">Reviewed </w:t>
      </w:r>
      <w:r w:rsidR="00B310F7">
        <w:t xml:space="preserve">a </w:t>
      </w:r>
      <w:r w:rsidR="00E87FA9">
        <w:t>question</w:t>
      </w:r>
      <w:r w:rsidR="00B310F7">
        <w:t xml:space="preserve"> from a Supplier</w:t>
      </w:r>
      <w:r w:rsidR="00E87FA9">
        <w:t xml:space="preserve"> concerning copper purity requirement of IPC-6012 3.2.6.2.  Supplier noted analysis methods are not sufficient to comply with the requirement.  </w:t>
      </w:r>
      <w:r w:rsidR="00670172">
        <w:t>Task Group responded to an analysis performed on the current configuration would be su</w:t>
      </w:r>
      <w:r w:rsidR="00CB420C">
        <w:t>fficient and has suggested the S</w:t>
      </w:r>
      <w:r w:rsidR="00670172">
        <w:t>upplier approach the IPC-6012 committee with the issue.</w:t>
      </w:r>
    </w:p>
    <w:p w14:paraId="4746B9C4" w14:textId="191A88D0" w:rsidR="000A4141" w:rsidRDefault="00CB420C" w:rsidP="000A4141">
      <w:pPr>
        <w:pStyle w:val="Heading2"/>
      </w:pPr>
      <w:bookmarkStart w:id="57" w:name="_Toc414354223"/>
      <w:bookmarkStart w:id="58" w:name="_Toc414354093"/>
      <w:proofErr w:type="gramStart"/>
      <w:r>
        <w:t>eAuditNet</w:t>
      </w:r>
      <w:proofErr w:type="gramEnd"/>
      <w:r>
        <w:t xml:space="preserve"> training for new s</w:t>
      </w:r>
      <w:r w:rsidR="000A4141" w:rsidRPr="000A4141">
        <w:t>ubscriber voting members (as necessary)</w:t>
      </w:r>
      <w:bookmarkEnd w:id="57"/>
      <w:bookmarkEnd w:id="58"/>
    </w:p>
    <w:p w14:paraId="5ABB0CA2" w14:textId="7C3F7358" w:rsidR="00AD2DF0" w:rsidRPr="00AD2DF0" w:rsidRDefault="00AD2DF0" w:rsidP="00AD2DF0">
      <w:pPr>
        <w:pStyle w:val="Body"/>
      </w:pPr>
      <w:r>
        <w:t xml:space="preserve">No new </w:t>
      </w:r>
      <w:r w:rsidR="00B177C7">
        <w:t>s</w:t>
      </w:r>
      <w:r>
        <w:t>ubscriber voting members.</w:t>
      </w:r>
    </w:p>
    <w:p w14:paraId="20346793" w14:textId="5646FCFA" w:rsidR="000A4141" w:rsidRDefault="00AD2DF0" w:rsidP="000A4141">
      <w:pPr>
        <w:pStyle w:val="Heading2"/>
      </w:pPr>
      <w:bookmarkStart w:id="59" w:name="_Toc414354224"/>
      <w:bookmarkStart w:id="60" w:name="_Toc414354094"/>
      <w:r>
        <w:t>OP 1117</w:t>
      </w:r>
      <w:r w:rsidR="000A4141" w:rsidRPr="000A4141">
        <w:t xml:space="preserve"> (Observation plan – auditor metrics)</w:t>
      </w:r>
      <w:bookmarkEnd w:id="59"/>
      <w:bookmarkEnd w:id="60"/>
    </w:p>
    <w:p w14:paraId="42DDF3B9" w14:textId="02B218D3" w:rsidR="00413F65" w:rsidRPr="00413F65" w:rsidRDefault="00AD2DF0" w:rsidP="00413F65">
      <w:pPr>
        <w:pStyle w:val="Body"/>
      </w:pPr>
      <w:r>
        <w:t>Susan Frailey gave</w:t>
      </w:r>
      <w:r w:rsidR="00413F65" w:rsidRPr="00C62EB1">
        <w:t xml:space="preserve"> </w:t>
      </w:r>
      <w:r w:rsidR="00413F65">
        <w:t>status of ETG auditor trainees.</w:t>
      </w:r>
    </w:p>
    <w:p w14:paraId="27C9DB29" w14:textId="1766BA5E" w:rsidR="002348A5" w:rsidRDefault="002348A5" w:rsidP="002348A5">
      <w:pPr>
        <w:pStyle w:val="Body"/>
      </w:pPr>
      <w:r>
        <w:lastRenderedPageBreak/>
        <w:t>Reviewed observations to date.  Five observations conducted so far, all to AC7120.  As a new auditor</w:t>
      </w:r>
      <w:r w:rsidR="00B310F7">
        <w:t>,</w:t>
      </w:r>
      <w:r>
        <w:t xml:space="preserve"> Julia </w:t>
      </w:r>
      <w:r w:rsidR="005D130A">
        <w:t xml:space="preserve">Markardt </w:t>
      </w:r>
      <w:r>
        <w:t xml:space="preserve">will require an observation audit prior to </w:t>
      </w:r>
      <w:r w:rsidR="0058340F">
        <w:t>yearend</w:t>
      </w:r>
      <w:r>
        <w:t>.</w:t>
      </w:r>
    </w:p>
    <w:p w14:paraId="4CCC2BFE" w14:textId="28A0B846" w:rsidR="006F60FD" w:rsidRDefault="006F60FD" w:rsidP="006F60FD">
      <w:pPr>
        <w:pStyle w:val="Body"/>
      </w:pPr>
      <w:r w:rsidRPr="0036119F">
        <w:t xml:space="preserve">Susan Frailey was issued </w:t>
      </w:r>
      <w:r>
        <w:t>a</w:t>
      </w:r>
      <w:r w:rsidR="00016D41">
        <w:t xml:space="preserve"> nonconformance report</w:t>
      </w:r>
      <w:r>
        <w:t xml:space="preserve"> </w:t>
      </w:r>
      <w:r w:rsidR="00016D41">
        <w:t>(</w:t>
      </w:r>
      <w:r>
        <w:t>NCR</w:t>
      </w:r>
      <w:r w:rsidR="00016D41">
        <w:t>)</w:t>
      </w:r>
      <w:r>
        <w:t xml:space="preserve"> during the PRI Internal Audit for the lack of an </w:t>
      </w:r>
      <w:r w:rsidRPr="0036119F">
        <w:t>Auditor Open Communication Plan</w:t>
      </w:r>
      <w:r>
        <w:t>, as dictated by Operating Procedure OP1117 (Auditor Consistency) for the ETG Task Group</w:t>
      </w:r>
      <w:r w:rsidRPr="0036119F">
        <w:t xml:space="preserve">. Susan Frailey </w:t>
      </w:r>
      <w:r>
        <w:t>has</w:t>
      </w:r>
      <w:r w:rsidRPr="0036119F">
        <w:t xml:space="preserve"> request</w:t>
      </w:r>
      <w:r>
        <w:t>ed</w:t>
      </w:r>
      <w:r w:rsidRPr="0036119F">
        <w:t xml:space="preserve"> </w:t>
      </w:r>
      <w:r>
        <w:t>Scott Meyer</w:t>
      </w:r>
      <w:r w:rsidRPr="0036119F">
        <w:t xml:space="preserve"> to </w:t>
      </w:r>
      <w:r>
        <w:t xml:space="preserve">help </w:t>
      </w:r>
      <w:r w:rsidRPr="0036119F">
        <w:t xml:space="preserve">generate and </w:t>
      </w:r>
      <w:r>
        <w:t>post the</w:t>
      </w:r>
      <w:r w:rsidRPr="0036119F">
        <w:t xml:space="preserve"> </w:t>
      </w:r>
      <w:r>
        <w:t>Auditor Open C</w:t>
      </w:r>
      <w:r w:rsidRPr="0036119F">
        <w:t xml:space="preserve">ommunication </w:t>
      </w:r>
      <w:r>
        <w:t>P</w:t>
      </w:r>
      <w:r w:rsidRPr="0036119F">
        <w:t xml:space="preserve">lan. </w:t>
      </w:r>
    </w:p>
    <w:p w14:paraId="003998D2" w14:textId="6FC0A448" w:rsidR="006F60FD" w:rsidRDefault="006F60FD" w:rsidP="006F60FD">
      <w:pPr>
        <w:pStyle w:val="ActionItem"/>
      </w:pPr>
      <w:r w:rsidRPr="00250DCB">
        <w:t>ACTION ITEM:</w:t>
      </w:r>
      <w:r>
        <w:t xml:space="preserve">  Scott Meyer to complete open auditor comm</w:t>
      </w:r>
      <w:r w:rsidR="00B177C7">
        <w:t>unications plan and post to TG w</w:t>
      </w:r>
      <w:r w:rsidR="008465AC">
        <w:t xml:space="preserve">orkspace.  </w:t>
      </w:r>
      <w:r w:rsidR="00395525">
        <w:t>(</w:t>
      </w:r>
      <w:r w:rsidR="008465AC">
        <w:t>Due</w:t>
      </w:r>
      <w:r>
        <w:t xml:space="preserve"> D</w:t>
      </w:r>
      <w:r w:rsidR="008465AC">
        <w:t>ate</w:t>
      </w:r>
      <w:r>
        <w:t>:</w:t>
      </w:r>
      <w:r w:rsidR="00395525">
        <w:t xml:space="preserve"> </w:t>
      </w:r>
      <w:r>
        <w:t>17-Jul-2015</w:t>
      </w:r>
      <w:r w:rsidR="00395525">
        <w:t>)</w:t>
      </w:r>
    </w:p>
    <w:p w14:paraId="5B199433" w14:textId="31B145D9" w:rsidR="00955BD5" w:rsidRDefault="00955BD5" w:rsidP="00955BD5">
      <w:pPr>
        <w:pStyle w:val="Heading1"/>
      </w:pPr>
      <w:bookmarkStart w:id="61" w:name="_Toc414354235"/>
      <w:bookmarkStart w:id="62" w:name="_Toc414354105"/>
      <w:bookmarkStart w:id="63" w:name="_Toc413649165"/>
      <w:bookmarkStart w:id="64" w:name="_Toc403025749"/>
      <w:bookmarkStart w:id="65" w:name="_Toc401912058"/>
      <w:bookmarkStart w:id="66" w:name="_Toc390433512"/>
      <w:bookmarkStart w:id="67" w:name="_Toc390433410"/>
      <w:bookmarkStart w:id="68" w:name="_Toc390433307"/>
      <w:bookmarkStart w:id="69" w:name="_Toc390433102"/>
      <w:bookmarkStart w:id="70" w:name="_Toc390432999"/>
      <w:bookmarkStart w:id="71" w:name="_Toc390432893"/>
      <w:bookmarkStart w:id="72" w:name="_Toc390425498"/>
      <w:bookmarkStart w:id="73" w:name="_Toc390421223"/>
      <w:bookmarkStart w:id="74" w:name="_Toc381691481"/>
      <w:bookmarkStart w:id="75" w:name="_Toc381686863"/>
      <w:bookmarkStart w:id="76" w:name="_Toc381686444"/>
      <w:bookmarkStart w:id="77" w:name="_Toc380153369"/>
      <w:bookmarkStart w:id="78" w:name="_Toc368986528"/>
      <w:bookmarkStart w:id="79" w:name="_Toc360194094"/>
      <w:bookmarkStart w:id="80" w:name="_Toc360193979"/>
      <w:bookmarkStart w:id="81" w:name="_Toc360170427"/>
      <w:bookmarkStart w:id="82" w:name="_Toc360169354"/>
      <w:bookmarkStart w:id="83" w:name="_Toc360168643"/>
      <w:bookmarkStart w:id="84" w:name="_Toc358702821"/>
      <w:bookmarkStart w:id="85" w:name="_Toc358702717"/>
      <w:bookmarkStart w:id="86" w:name="_Toc358702254"/>
      <w:bookmarkStart w:id="87" w:name="_Toc350942145"/>
      <w:bookmarkStart w:id="88" w:name="_Toc350941382"/>
      <w:bookmarkStart w:id="89" w:name="_Toc350941254"/>
      <w:bookmarkStart w:id="90" w:name="_Toc350940907"/>
      <w:bookmarkStart w:id="91" w:name="_Toc350940764"/>
      <w:bookmarkStart w:id="92" w:name="_Toc350940188"/>
      <w:bookmarkStart w:id="93" w:name="_Toc350939965"/>
      <w:bookmarkStart w:id="94" w:name="_Toc350939850"/>
      <w:bookmarkStart w:id="95" w:name="_Toc350939751"/>
      <w:bookmarkStart w:id="96" w:name="_Toc350939671"/>
      <w:bookmarkStart w:id="97" w:name="_Toc350939594"/>
      <w:bookmarkStart w:id="98" w:name="_Toc349315824"/>
      <w:bookmarkStart w:id="99" w:name="_Toc347760138"/>
      <w:bookmarkStart w:id="100" w:name="_Toc347750196"/>
      <w:bookmarkStart w:id="101" w:name="_Toc347750030"/>
      <w:bookmarkStart w:id="102" w:name="_Toc347686128"/>
      <w:bookmarkStart w:id="103" w:name="_Toc346614322"/>
      <w:bookmarkStart w:id="104" w:name="_Toc339610167"/>
      <w:bookmarkStart w:id="105" w:name="_Toc347760153"/>
      <w:bookmarkStart w:id="106" w:name="_Toc347750211"/>
      <w:bookmarkStart w:id="107" w:name="_Toc347750045"/>
      <w:bookmarkStart w:id="108" w:name="_Toc347686144"/>
      <w:bookmarkStart w:id="109" w:name="_Toc346614338"/>
      <w:bookmarkStart w:id="110" w:name="_Toc339610180"/>
      <w:r w:rsidRPr="00581AE0">
        <w:t>Review</w:t>
      </w:r>
      <w:r w:rsidR="00581AE0" w:rsidRPr="00581AE0">
        <w:t>/REPORT</w:t>
      </w:r>
      <w:r w:rsidR="006F60FD">
        <w:t>/ACCEPT</w:t>
      </w:r>
      <w:r w:rsidRPr="00581AE0">
        <w:t xml:space="preserve">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F240F7">
        <w:t>–</w:t>
      </w:r>
      <w:r>
        <w:t xml:space="preserve"> OPEN</w:t>
      </w:r>
    </w:p>
    <w:p w14:paraId="4D0FB6E8" w14:textId="11244EFF" w:rsidR="00A97D30" w:rsidRDefault="00955BD5" w:rsidP="00A97D30">
      <w:pPr>
        <w:pStyle w:val="Heading2"/>
      </w:pPr>
      <w:bookmarkStart w:id="111" w:name="_Toc414354236"/>
      <w:bookmarkStart w:id="112" w:name="_Toc414354106"/>
      <w:bookmarkStart w:id="113" w:name="_Toc413649163"/>
      <w:bookmarkStart w:id="114" w:name="_Toc403025747"/>
      <w:bookmarkStart w:id="115" w:name="_Toc401912056"/>
      <w:bookmarkStart w:id="116" w:name="_Toc390433510"/>
      <w:bookmarkStart w:id="117" w:name="_Toc390433408"/>
      <w:bookmarkStart w:id="118" w:name="_Toc390433305"/>
      <w:bookmarkStart w:id="119" w:name="_Toc390433100"/>
      <w:bookmarkStart w:id="120" w:name="_Toc390432997"/>
      <w:bookmarkStart w:id="121" w:name="_Toc390432891"/>
      <w:bookmarkStart w:id="122" w:name="_Toc390425496"/>
      <w:bookmarkStart w:id="123" w:name="_Toc390421221"/>
      <w:bookmarkStart w:id="124" w:name="_Toc381691479"/>
      <w:bookmarkStart w:id="125" w:name="_Toc381686861"/>
      <w:bookmarkStart w:id="126" w:name="_Toc381686442"/>
      <w:bookmarkStart w:id="127" w:name="_Toc380153367"/>
      <w:bookmarkStart w:id="128" w:name="_Toc368986526"/>
      <w:bookmarkStart w:id="129" w:name="_Toc360194092"/>
      <w:bookmarkStart w:id="130" w:name="_Toc360193977"/>
      <w:bookmarkStart w:id="131" w:name="_Toc360170425"/>
      <w:bookmarkStart w:id="132" w:name="_Toc360169352"/>
      <w:bookmarkStart w:id="133" w:name="_Toc360168641"/>
      <w:bookmarkStart w:id="134" w:name="_Toc358702819"/>
      <w:bookmarkStart w:id="135" w:name="_Toc358702715"/>
      <w:bookmarkStart w:id="136" w:name="_Toc358702252"/>
      <w:bookmarkStart w:id="137" w:name="_Toc350942143"/>
      <w:bookmarkStart w:id="138" w:name="_Toc350941380"/>
      <w:bookmarkStart w:id="139" w:name="_Toc350941252"/>
      <w:bookmarkStart w:id="140" w:name="_Toc350940905"/>
      <w:bookmarkStart w:id="141" w:name="_Toc350940762"/>
      <w:bookmarkStart w:id="142" w:name="_Toc350940186"/>
      <w:bookmarkStart w:id="143" w:name="_Toc350939963"/>
      <w:bookmarkStart w:id="144" w:name="_Toc350939848"/>
      <w:r w:rsidRPr="00955BD5">
        <w:t>Acceptance of Meeting Minutes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6EE8B1B4" w14:textId="4D4A939B" w:rsidR="00A97D30" w:rsidRDefault="00A97D30" w:rsidP="00A97D30">
      <w:pPr>
        <w:pStyle w:val="Body"/>
      </w:pPr>
      <w:r>
        <w:t>The minutes from Mar</w:t>
      </w:r>
      <w:r w:rsidR="007A5163">
        <w:t>ch 2015 were amended</w:t>
      </w:r>
      <w:r>
        <w:t>.</w:t>
      </w:r>
    </w:p>
    <w:p w14:paraId="0D51991B" w14:textId="410D815E" w:rsidR="00B40E7A" w:rsidRDefault="00B40E7A" w:rsidP="00A97D30">
      <w:pPr>
        <w:pStyle w:val="Body"/>
      </w:pPr>
      <w:r>
        <w:t>Motion made by Roger Bloomfield and seconded by Jose Lages to accept the minutes</w:t>
      </w:r>
      <w:r w:rsidR="002F5D35">
        <w:t xml:space="preserve"> as amended</w:t>
      </w:r>
      <w:r>
        <w:t>.  Motion passed.</w:t>
      </w:r>
    </w:p>
    <w:p w14:paraId="531747CD" w14:textId="38F74821" w:rsidR="00A97D30" w:rsidRDefault="00A97D30" w:rsidP="00A97D30">
      <w:pPr>
        <w:pStyle w:val="Heading2"/>
      </w:pPr>
      <w:bookmarkStart w:id="145" w:name="_Toc414354237"/>
      <w:bookmarkStart w:id="146" w:name="_Toc414354107"/>
      <w:r>
        <w:t>The Rolling Action Item List (RAIL)</w:t>
      </w:r>
      <w:bookmarkEnd w:id="145"/>
      <w:bookmarkEnd w:id="146"/>
      <w:r>
        <w:t xml:space="preserve"> Review </w:t>
      </w:r>
    </w:p>
    <w:p w14:paraId="3F2A6960" w14:textId="4335F5E8" w:rsidR="00A97D30" w:rsidRDefault="00A97D30" w:rsidP="00A97D30">
      <w:pPr>
        <w:pStyle w:val="Body"/>
      </w:pPr>
      <w:r>
        <w:t>The Rolling Action Item List (RAIL) was reviewed</w:t>
      </w:r>
      <w:r w:rsidR="001148E2">
        <w:t xml:space="preserve"> and status updated accordingly</w:t>
      </w:r>
      <w:r>
        <w:t>.</w:t>
      </w:r>
    </w:p>
    <w:p w14:paraId="502CC72B" w14:textId="7B630217" w:rsidR="00A97D30" w:rsidRPr="00A97D30" w:rsidRDefault="00A97D30" w:rsidP="00A97D30">
      <w:pPr>
        <w:pStyle w:val="Heading2"/>
        <w:numPr>
          <w:ilvl w:val="0"/>
          <w:numId w:val="0"/>
        </w:numPr>
        <w:ind w:left="720"/>
      </w:pPr>
      <w:r w:rsidRPr="007F7E08">
        <w:t xml:space="preserve">For specific details, please see the current </w:t>
      </w:r>
      <w:r w:rsidR="00581AE0">
        <w:t>ETG</w:t>
      </w:r>
      <w:r w:rsidRPr="007F7E08">
        <w:t xml:space="preserve"> Rolling Action Item List posted at </w:t>
      </w:r>
      <w:hyperlink r:id="rId12" w:history="1">
        <w:r w:rsidRPr="00D109C4">
          <w:rPr>
            <w:rStyle w:val="Hyperlink"/>
          </w:rPr>
          <w:t>www.eAuditNet.com</w:t>
        </w:r>
      </w:hyperlink>
      <w:r w:rsidRPr="007F7E08">
        <w:t>, under Public Documents.</w:t>
      </w:r>
    </w:p>
    <w:p w14:paraId="2EDD456A" w14:textId="00A9A1E6" w:rsidR="00955BD5" w:rsidRDefault="00955BD5" w:rsidP="00955BD5">
      <w:pPr>
        <w:pStyle w:val="Heading2"/>
      </w:pPr>
      <w:bookmarkStart w:id="147" w:name="_Toc414354238"/>
      <w:bookmarkStart w:id="148" w:name="_Toc414354108"/>
      <w:r w:rsidRPr="00955BD5">
        <w:t xml:space="preserve">Audit Observations / </w:t>
      </w:r>
      <w:r w:rsidR="00581AE0">
        <w:t>OP</w:t>
      </w:r>
      <w:r w:rsidR="00A34228">
        <w:t>1117</w:t>
      </w:r>
      <w:r w:rsidRPr="00955BD5">
        <w:t xml:space="preserve"> status</w:t>
      </w:r>
      <w:bookmarkEnd w:id="147"/>
      <w:bookmarkEnd w:id="148"/>
    </w:p>
    <w:p w14:paraId="3DB23C10" w14:textId="7EB86C6B" w:rsidR="00D21199" w:rsidRPr="00D21199" w:rsidRDefault="00D21199" w:rsidP="00D21199">
      <w:pPr>
        <w:pStyle w:val="Body"/>
      </w:pPr>
      <w:r>
        <w:t>Scott Meyer presented status of auditor observations to date. Susan Frailey gave status of the three new auditor trainees.</w:t>
      </w:r>
    </w:p>
    <w:p w14:paraId="243771C8" w14:textId="77777777" w:rsidR="00955BD5" w:rsidRDefault="00955BD5" w:rsidP="00955BD5">
      <w:pPr>
        <w:pStyle w:val="Heading2"/>
      </w:pPr>
      <w:bookmarkStart w:id="149" w:name="_Toc414354239"/>
      <w:bookmarkStart w:id="150" w:name="_Toc414354109"/>
      <w:r w:rsidRPr="00955BD5">
        <w:t>Status of Ballots (as applicable)</w:t>
      </w:r>
      <w:bookmarkEnd w:id="149"/>
      <w:bookmarkEnd w:id="150"/>
    </w:p>
    <w:p w14:paraId="1FB0D686" w14:textId="70B1D979" w:rsidR="00AD2DF0" w:rsidRPr="00AD2DF0" w:rsidRDefault="00AD2DF0" w:rsidP="00AD2DF0">
      <w:pPr>
        <w:pStyle w:val="Body"/>
      </w:pPr>
      <w:r>
        <w:t>See section 11.0 and 12.0 of minutes.</w:t>
      </w:r>
    </w:p>
    <w:p w14:paraId="41F27D8A" w14:textId="2A1A9D64" w:rsidR="00955BD5" w:rsidRDefault="0083733F" w:rsidP="00955BD5">
      <w:pPr>
        <w:pStyle w:val="Heading2"/>
      </w:pPr>
      <w:bookmarkStart w:id="151" w:name="_Toc414354240"/>
      <w:bookmarkStart w:id="152" w:name="_Toc414354110"/>
      <w:r w:rsidRPr="00955BD5">
        <w:t>Succession</w:t>
      </w:r>
      <w:r w:rsidR="00955BD5" w:rsidRPr="00955BD5">
        <w:t xml:space="preserve"> Plan (as applicable)</w:t>
      </w:r>
      <w:bookmarkEnd w:id="151"/>
      <w:bookmarkEnd w:id="152"/>
    </w:p>
    <w:p w14:paraId="65375C5F" w14:textId="5965E62F" w:rsidR="00D3654F" w:rsidRPr="00D3654F" w:rsidRDefault="00D3654F" w:rsidP="00D3654F">
      <w:pPr>
        <w:pStyle w:val="Body"/>
      </w:pPr>
      <w:r>
        <w:t>Call made fo</w:t>
      </w:r>
      <w:r w:rsidR="00AD2DF0">
        <w:t>r Subscribers to consider becoming the new</w:t>
      </w:r>
      <w:r>
        <w:t xml:space="preserve"> vice chair</w:t>
      </w:r>
      <w:r w:rsidR="00AD2DF0">
        <w:t xml:space="preserve"> after the </w:t>
      </w:r>
      <w:r w:rsidR="00581AE0">
        <w:t>October 2015</w:t>
      </w:r>
      <w:r w:rsidR="00AD2DF0">
        <w:t xml:space="preserve"> meeting</w:t>
      </w:r>
      <w:r>
        <w:t>.</w:t>
      </w:r>
      <w:r w:rsidR="00AD2DF0">
        <w:t xml:space="preserve">  </w:t>
      </w:r>
    </w:p>
    <w:p w14:paraId="267D89D8" w14:textId="0F434B69" w:rsidR="00FA0B5E" w:rsidRDefault="00955BD5" w:rsidP="00955BD5">
      <w:pPr>
        <w:pStyle w:val="Heading1"/>
      </w:pPr>
      <w:bookmarkStart w:id="153" w:name="_Toc414354242"/>
      <w:bookmarkStart w:id="154" w:name="_Toc414354112"/>
      <w:r w:rsidRPr="00955BD5">
        <w:t xml:space="preserve">Jet Printing </w:t>
      </w:r>
      <w:bookmarkEnd w:id="153"/>
      <w:bookmarkEnd w:id="154"/>
      <w:r w:rsidR="00F240F7" w:rsidRPr="00955BD5">
        <w:t>UPDATE –</w:t>
      </w:r>
      <w:r w:rsidR="00FA0B5E">
        <w:t xml:space="preserve"> OPEN</w:t>
      </w:r>
    </w:p>
    <w:p w14:paraId="4EE200D0" w14:textId="56C7F659" w:rsidR="00D21199" w:rsidRPr="00D21199" w:rsidRDefault="00B177C7" w:rsidP="00D21199">
      <w:pPr>
        <w:pStyle w:val="Body"/>
      </w:pPr>
      <w:r>
        <w:t>This item was d</w:t>
      </w:r>
      <w:r w:rsidR="00D21199">
        <w:t xml:space="preserve">eferred to </w:t>
      </w:r>
      <w:r w:rsidR="002F5D35">
        <w:t>the October 2015 Nadcap</w:t>
      </w:r>
      <w:r w:rsidR="00D21199">
        <w:t xml:space="preserve"> </w:t>
      </w:r>
      <w:r>
        <w:t>meeting</w:t>
      </w:r>
      <w:r w:rsidR="002F5D35">
        <w:t xml:space="preserve"> </w:t>
      </w:r>
      <w:r w:rsidR="00D21199">
        <w:t>due to Roy</w:t>
      </w:r>
      <w:r w:rsidR="00AD2DF0">
        <w:t xml:space="preserve"> Garside’s</w:t>
      </w:r>
      <w:r w:rsidR="00D21199">
        <w:t xml:space="preserve"> absence.</w:t>
      </w:r>
    </w:p>
    <w:p w14:paraId="7D5748D8" w14:textId="5E42FCD7" w:rsidR="00955BD5" w:rsidRDefault="00955BD5" w:rsidP="00272E48">
      <w:pPr>
        <w:pStyle w:val="Heading1"/>
      </w:pPr>
      <w:bookmarkStart w:id="155" w:name="_Toc414354244"/>
      <w:bookmarkStart w:id="156" w:name="_Toc414354114"/>
      <w:r>
        <w:t xml:space="preserve">Auditor Training for Counterfeit Parts – review of </w:t>
      </w:r>
      <w:bookmarkEnd w:id="155"/>
      <w:bookmarkEnd w:id="156"/>
      <w:r w:rsidR="00F240F7">
        <w:t>PRESENTATION –</w:t>
      </w:r>
      <w:r w:rsidR="00FA0B5E">
        <w:t xml:space="preserve"> OPEN</w:t>
      </w:r>
    </w:p>
    <w:p w14:paraId="17220D18" w14:textId="46363B8F" w:rsidR="00955BD5" w:rsidRPr="00955BD5" w:rsidRDefault="00D21199" w:rsidP="00955BD5">
      <w:pPr>
        <w:pStyle w:val="Body"/>
      </w:pPr>
      <w:r>
        <w:t>Scott Meyer presented draft training module for counterfeit part awareness.</w:t>
      </w:r>
    </w:p>
    <w:p w14:paraId="66C2D667" w14:textId="21AA4C41" w:rsidR="00955BD5" w:rsidRDefault="00E32CD4" w:rsidP="00955BD5">
      <w:pPr>
        <w:pStyle w:val="Heading1"/>
      </w:pPr>
      <w:bookmarkStart w:id="157" w:name="_Toc414354246"/>
      <w:bookmarkStart w:id="158" w:name="_Toc414354116"/>
      <w:r>
        <w:t>Defense Federal Acquisition Regulation Supplement (</w:t>
      </w:r>
      <w:r w:rsidR="00955BD5">
        <w:t>DFAR</w:t>
      </w:r>
      <w:r>
        <w:t>)</w:t>
      </w:r>
      <w:r w:rsidR="00955BD5">
        <w:t xml:space="preserve"> Update as related to counterfeit part</w:t>
      </w:r>
      <w:bookmarkEnd w:id="157"/>
      <w:bookmarkEnd w:id="158"/>
      <w:r w:rsidR="00955BD5">
        <w:t xml:space="preserve"> </w:t>
      </w:r>
      <w:r w:rsidR="00D21199">
        <w:t>–</w:t>
      </w:r>
      <w:r w:rsidR="00955BD5">
        <w:t xml:space="preserve"> open</w:t>
      </w:r>
    </w:p>
    <w:p w14:paraId="2997B990" w14:textId="3C377BCB" w:rsidR="00D21199" w:rsidRPr="00D21199" w:rsidRDefault="00D21199" w:rsidP="00D21199">
      <w:pPr>
        <w:pStyle w:val="Body"/>
      </w:pPr>
      <w:r>
        <w:t>Scott Meyer presented latest DFAR flow-down requirements with a summary of similarities and differences to AS5553 standard.</w:t>
      </w:r>
      <w:r w:rsidR="003B7F20">
        <w:t xml:space="preserve"> This update was for Task Group awareness.</w:t>
      </w:r>
    </w:p>
    <w:p w14:paraId="2201D14F" w14:textId="48F34809" w:rsidR="00955BD5" w:rsidRDefault="00955BD5" w:rsidP="00955BD5">
      <w:pPr>
        <w:pStyle w:val="Heading1"/>
      </w:pPr>
      <w:bookmarkStart w:id="159" w:name="_Toc414354248"/>
      <w:bookmarkStart w:id="160" w:name="_Toc414354118"/>
      <w:r>
        <w:t>Solder Paste Inspection Survey Results</w:t>
      </w:r>
      <w:bookmarkEnd w:id="159"/>
      <w:bookmarkEnd w:id="160"/>
      <w:r>
        <w:t xml:space="preserve"> – OPEN</w:t>
      </w:r>
    </w:p>
    <w:p w14:paraId="0F6E4134" w14:textId="67656F72" w:rsidR="00955BD5" w:rsidRDefault="002F5D35" w:rsidP="00955BD5">
      <w:pPr>
        <w:pStyle w:val="Body"/>
      </w:pPr>
      <w:r w:rsidRPr="002F5D35">
        <w:t>This item was deferred to the October 2015 Nadcap meeting due to Roy Garside’s absence.</w:t>
      </w:r>
    </w:p>
    <w:p w14:paraId="76C18AF1" w14:textId="2D5E8C5A" w:rsidR="00955BD5" w:rsidRDefault="00955BD5" w:rsidP="00955BD5">
      <w:pPr>
        <w:pStyle w:val="Heading1"/>
      </w:pPr>
      <w:bookmarkStart w:id="161" w:name="_Toc414354250"/>
      <w:bookmarkStart w:id="162" w:name="_Toc414354120"/>
      <w:r>
        <w:lastRenderedPageBreak/>
        <w:t>Auditor Testing/Screening Feasibility</w:t>
      </w:r>
      <w:bookmarkEnd w:id="161"/>
      <w:bookmarkEnd w:id="162"/>
      <w:r>
        <w:t xml:space="preserve"> – OPEN</w:t>
      </w:r>
    </w:p>
    <w:p w14:paraId="5CD4CF9E" w14:textId="25013735" w:rsidR="00696632" w:rsidRDefault="006E0EF2" w:rsidP="00696632">
      <w:pPr>
        <w:pStyle w:val="Body"/>
      </w:pPr>
      <w:r>
        <w:t xml:space="preserve">The topic of possibly using testing to pre-screen auditor candidates was discussed.  </w:t>
      </w:r>
      <w:r w:rsidR="00AF4277">
        <w:t xml:space="preserve">Richard </w:t>
      </w:r>
      <w:r w:rsidR="00AD2DF0">
        <w:t xml:space="preserve">Rumas </w:t>
      </w:r>
      <w:r w:rsidR="00AF4277">
        <w:t xml:space="preserve">displayed questions from the existing Honeywell </w:t>
      </w:r>
      <w:r w:rsidR="004A66D2">
        <w:t xml:space="preserve">SCA </w:t>
      </w:r>
      <w:r>
        <w:t>tests and asked if the Task Group thought the questions were worth while pursuing to be used.</w:t>
      </w:r>
    </w:p>
    <w:p w14:paraId="5005A103" w14:textId="4A556C1B" w:rsidR="006E0EF2" w:rsidRDefault="006E0EF2" w:rsidP="006E0EF2">
      <w:pPr>
        <w:pStyle w:val="ActionItem"/>
      </w:pPr>
      <w:r w:rsidRPr="00250DCB">
        <w:t>ACTION ITEM:</w:t>
      </w:r>
      <w:r>
        <w:t xml:space="preserve"> Richard Rumas to email L</w:t>
      </w:r>
      <w:r w:rsidR="002F5D35">
        <w:t>aurie</w:t>
      </w:r>
      <w:r>
        <w:t xml:space="preserve"> Strom for written permission to utilize Honeywell</w:t>
      </w:r>
      <w:r w:rsidR="002F5D35">
        <w:t>’s</w:t>
      </w:r>
      <w:r>
        <w:t xml:space="preserve"> </w:t>
      </w:r>
      <w:r w:rsidR="002F5D35">
        <w:t>questions</w:t>
      </w:r>
      <w:r>
        <w:t xml:space="preserve"> to screen potential ETG auditors.  </w:t>
      </w:r>
      <w:r w:rsidR="00395525">
        <w:t>(</w:t>
      </w:r>
      <w:r>
        <w:t>Due Date: 25-Jun-2015</w:t>
      </w:r>
      <w:r w:rsidR="00395525">
        <w:t>)</w:t>
      </w:r>
    </w:p>
    <w:p w14:paraId="57EB66E2" w14:textId="732059F7" w:rsidR="00AF4277" w:rsidRDefault="00AF4277" w:rsidP="00435908">
      <w:pPr>
        <w:pStyle w:val="ActionItem"/>
      </w:pPr>
      <w:r w:rsidRPr="00AF4277">
        <w:t>ACTION ITEM:</w:t>
      </w:r>
      <w:r>
        <w:t xml:space="preserve">  Gilbert Shelby to review PB tests, Bill Cardinal to review PBA tests,</w:t>
      </w:r>
      <w:r w:rsidR="00906224">
        <w:t xml:space="preserve"> Roy Garside to review C&amp;H questions</w:t>
      </w:r>
      <w:r>
        <w:t xml:space="preserve">, for use to screen auditors. </w:t>
      </w:r>
      <w:r w:rsidR="004A66D2">
        <w:t>Draft tests/questions</w:t>
      </w:r>
      <w:r>
        <w:t xml:space="preserve"> to be presented at Pittsburgh meeting.  </w:t>
      </w:r>
      <w:r w:rsidR="00395525">
        <w:t>(</w:t>
      </w:r>
      <w:r>
        <w:t>Due Date: 19</w:t>
      </w:r>
      <w:r w:rsidR="00B07CBD">
        <w:t>-</w:t>
      </w:r>
      <w:r>
        <w:t>Oct</w:t>
      </w:r>
      <w:r w:rsidR="00B07CBD">
        <w:t>-2015</w:t>
      </w:r>
      <w:r w:rsidR="00395525">
        <w:t>)</w:t>
      </w:r>
    </w:p>
    <w:p w14:paraId="407A3378" w14:textId="3722B102" w:rsidR="00A34228" w:rsidRDefault="00A34228" w:rsidP="00435908">
      <w:pPr>
        <w:pStyle w:val="ActionItem"/>
      </w:pPr>
      <w:r>
        <w:t>ACTION ITEM: Gilbert</w:t>
      </w:r>
      <w:r w:rsidR="0083733F">
        <w:t xml:space="preserve"> Shelby</w:t>
      </w:r>
      <w:r>
        <w:t>, Bill</w:t>
      </w:r>
      <w:r w:rsidR="0083733F">
        <w:t xml:space="preserve"> Cardinal</w:t>
      </w:r>
      <w:r>
        <w:t>,</w:t>
      </w:r>
      <w:r w:rsidR="0083733F">
        <w:t xml:space="preserve"> and</w:t>
      </w:r>
      <w:r>
        <w:t xml:space="preserve"> Roy</w:t>
      </w:r>
      <w:r w:rsidR="0083733F">
        <w:t xml:space="preserve"> Garside</w:t>
      </w:r>
      <w:r w:rsidR="00B177C7">
        <w:t xml:space="preserve"> </w:t>
      </w:r>
      <w:r>
        <w:t>to review test questions against the auditor interview questions to remove redundant questions from the table.</w:t>
      </w:r>
      <w:r w:rsidR="00395525">
        <w:t xml:space="preserve"> (</w:t>
      </w:r>
      <w:r>
        <w:t>Due Date:</w:t>
      </w:r>
      <w:r w:rsidR="00395525">
        <w:t xml:space="preserve"> </w:t>
      </w:r>
      <w:r>
        <w:t>19</w:t>
      </w:r>
      <w:r w:rsidR="00B07CBD">
        <w:t>-</w:t>
      </w:r>
      <w:r>
        <w:t>Oct</w:t>
      </w:r>
      <w:r w:rsidR="00B07CBD">
        <w:t>-</w:t>
      </w:r>
      <w:r>
        <w:t>2015</w:t>
      </w:r>
      <w:r w:rsidR="00395525">
        <w:t>)</w:t>
      </w:r>
    </w:p>
    <w:p w14:paraId="5BD9E0F0" w14:textId="33162673" w:rsidR="00F240F7" w:rsidRDefault="00F240F7" w:rsidP="00F240F7">
      <w:pPr>
        <w:pStyle w:val="ActionItem"/>
        <w:rPr>
          <w:i w:val="0"/>
        </w:rPr>
      </w:pPr>
      <w:r w:rsidRPr="00F240F7">
        <w:rPr>
          <w:i w:val="0"/>
        </w:rPr>
        <w:t xml:space="preserve">2.0 </w:t>
      </w:r>
      <w:r>
        <w:t xml:space="preserve">      </w:t>
      </w:r>
      <w:r w:rsidRPr="00F240F7">
        <w:rPr>
          <w:i w:val="0"/>
        </w:rPr>
        <w:t>S</w:t>
      </w:r>
      <w:r>
        <w:rPr>
          <w:i w:val="0"/>
        </w:rPr>
        <w:t>UBSCRIBER DISCUSSION CONTINUED- CLOSED</w:t>
      </w:r>
    </w:p>
    <w:p w14:paraId="3E20E3D9" w14:textId="60952CEE" w:rsidR="00457C3B" w:rsidRPr="00457C3B" w:rsidRDefault="00457C3B" w:rsidP="00457C3B">
      <w:pPr>
        <w:pStyle w:val="Body"/>
      </w:pPr>
      <w:r>
        <w:t>The subject of First Article Inspection Reports (FAIRs) and what each auditor looked at was discussed.  Also</w:t>
      </w:r>
      <w:r w:rsidR="00E32CD4">
        <w:t>,</w:t>
      </w:r>
      <w:r>
        <w:t xml:space="preserve"> discussed was what the expectations of each of the Task Group members to determine if the FAIR met the checklist requirement. The question itself </w:t>
      </w:r>
      <w:r w:rsidR="002F5D35">
        <w:t xml:space="preserve">(from AC 7120) </w:t>
      </w:r>
      <w:r>
        <w:t xml:space="preserve">was discussed to determine if it needed to be reworded. No decision on the question at this time.  </w:t>
      </w:r>
    </w:p>
    <w:p w14:paraId="7429EA9A" w14:textId="57AE1C66" w:rsidR="00622082" w:rsidRPr="00413F65" w:rsidRDefault="00622082" w:rsidP="00435908">
      <w:pPr>
        <w:pStyle w:val="ActionItem"/>
      </w:pPr>
      <w:bookmarkStart w:id="163" w:name="_Toc414354268"/>
      <w:bookmarkStart w:id="164" w:name="_Toc414354138"/>
      <w:r w:rsidRPr="00734ED6">
        <w:t>ACTION ITEM</w:t>
      </w:r>
      <w:r>
        <w:t xml:space="preserve">:  PRI </w:t>
      </w:r>
      <w:r w:rsidR="002667A5">
        <w:t>S</w:t>
      </w:r>
      <w:r>
        <w:t>taff to send email to the auditors on how they answer the existence of the FAIR questions in the three checklists</w:t>
      </w:r>
      <w:r w:rsidR="00714DAC">
        <w:t xml:space="preserve"> and </w:t>
      </w:r>
      <w:r w:rsidR="002F5D35">
        <w:t xml:space="preserve">be ready to </w:t>
      </w:r>
      <w:r w:rsidR="00714DAC">
        <w:t>discuss at auditor conference</w:t>
      </w:r>
      <w:r>
        <w:t xml:space="preserve">.  </w:t>
      </w:r>
      <w:r w:rsidR="00395525">
        <w:t>(</w:t>
      </w:r>
      <w:r>
        <w:t>Due Date: 17</w:t>
      </w:r>
      <w:r w:rsidR="00B07CBD">
        <w:t>-</w:t>
      </w:r>
      <w:r>
        <w:t>Jul</w:t>
      </w:r>
      <w:r w:rsidR="00B07CBD">
        <w:t>-</w:t>
      </w:r>
      <w:r>
        <w:t>2015</w:t>
      </w:r>
      <w:r w:rsidR="00395525">
        <w:t>)</w:t>
      </w:r>
    </w:p>
    <w:p w14:paraId="32126458" w14:textId="6B2DD68F" w:rsidR="00955BD5" w:rsidRDefault="00955BD5" w:rsidP="00696632">
      <w:pPr>
        <w:pStyle w:val="Heading1"/>
      </w:pPr>
      <w:r>
        <w:t>Review Sub-Team Member List</w:t>
      </w:r>
      <w:bookmarkEnd w:id="163"/>
      <w:bookmarkEnd w:id="164"/>
      <w:r>
        <w:t xml:space="preserve"> – OPEN</w:t>
      </w:r>
    </w:p>
    <w:p w14:paraId="30AF56A5" w14:textId="4534E00A" w:rsidR="00696632" w:rsidRPr="00696632" w:rsidRDefault="00622082" w:rsidP="00696632">
      <w:pPr>
        <w:pStyle w:val="Body"/>
      </w:pPr>
      <w:r>
        <w:t>Reviewed and updated sub-team lists</w:t>
      </w:r>
      <w:r w:rsidR="00696632">
        <w:t>.</w:t>
      </w:r>
      <w:r>
        <w:t xml:space="preserve">  </w:t>
      </w:r>
    </w:p>
    <w:p w14:paraId="4E8AD99E" w14:textId="26967DD5" w:rsidR="00955BD5" w:rsidRDefault="00955BD5" w:rsidP="00955BD5">
      <w:pPr>
        <w:pStyle w:val="Heading1"/>
      </w:pPr>
      <w:bookmarkStart w:id="165" w:name="_Toc414354270"/>
      <w:bookmarkStart w:id="166" w:name="_Toc414354140"/>
      <w:r>
        <w:t>S</w:t>
      </w:r>
      <w:r w:rsidR="00457C3B">
        <w:t xml:space="preserve">upplier </w:t>
      </w:r>
      <w:r>
        <w:t>S</w:t>
      </w:r>
      <w:r w:rsidR="00457C3B">
        <w:t xml:space="preserve">upport </w:t>
      </w:r>
      <w:r>
        <w:t>C</w:t>
      </w:r>
      <w:r w:rsidR="00457C3B">
        <w:t>ommittee (SSC)</w:t>
      </w:r>
      <w:r>
        <w:t xml:space="preserve"> Meeting Notification</w:t>
      </w:r>
      <w:bookmarkEnd w:id="165"/>
      <w:bookmarkEnd w:id="166"/>
      <w:r>
        <w:t xml:space="preserve"> – OPEN</w:t>
      </w:r>
    </w:p>
    <w:p w14:paraId="3A866C28" w14:textId="3D863807" w:rsidR="00696632" w:rsidRPr="00696632" w:rsidRDefault="00A34228" w:rsidP="00696632">
      <w:pPr>
        <w:pStyle w:val="Body"/>
      </w:pPr>
      <w:r>
        <w:t>Doug Schueller highlighted SSC activities and invited all to attend the meeting Tuesday evening.</w:t>
      </w:r>
    </w:p>
    <w:p w14:paraId="5796F8F3" w14:textId="05FAE424" w:rsidR="00955BD5" w:rsidRDefault="004C0F18" w:rsidP="00955BD5">
      <w:pPr>
        <w:pStyle w:val="Heading1"/>
      </w:pPr>
      <w:bookmarkStart w:id="167" w:name="_Toc414354272"/>
      <w:bookmarkStart w:id="168" w:name="_Toc414354142"/>
      <w:r>
        <w:t>ETG APPENDIX</w:t>
      </w:r>
      <w:r w:rsidR="00955BD5" w:rsidRPr="00955BD5">
        <w:t xml:space="preserve"> Ballot Comment Resolution</w:t>
      </w:r>
      <w:bookmarkEnd w:id="167"/>
      <w:bookmarkEnd w:id="168"/>
      <w:r w:rsidR="00955BD5">
        <w:t>– OPEN</w:t>
      </w:r>
    </w:p>
    <w:p w14:paraId="4679AB42" w14:textId="56A3C40A" w:rsidR="00813902" w:rsidRDefault="00457C3B" w:rsidP="00813902">
      <w:pPr>
        <w:pStyle w:val="Body"/>
      </w:pPr>
      <w:r>
        <w:t>All comments resolved and documented in the ballot in eAuditNet.</w:t>
      </w:r>
    </w:p>
    <w:p w14:paraId="44ABCF2E" w14:textId="53A622CB" w:rsidR="00813902" w:rsidRPr="00813902" w:rsidRDefault="00813902" w:rsidP="00435908">
      <w:pPr>
        <w:pStyle w:val="ActionItem"/>
      </w:pPr>
      <w:r w:rsidRPr="00813902">
        <w:t>ACTION ITEM</w:t>
      </w:r>
      <w:r>
        <w:t xml:space="preserve">: PRI </w:t>
      </w:r>
      <w:r w:rsidR="002667A5">
        <w:t xml:space="preserve">Staff </w:t>
      </w:r>
      <w:r>
        <w:t>to submit OP 1114 A</w:t>
      </w:r>
      <w:r w:rsidR="00457C3B">
        <w:t>ppendix</w:t>
      </w:r>
      <w:r>
        <w:t xml:space="preserve"> ETG for 14-day affirmation ballot. </w:t>
      </w:r>
      <w:r w:rsidR="00395525">
        <w:t>(</w:t>
      </w:r>
      <w:r>
        <w:t>Due Date: 31</w:t>
      </w:r>
      <w:r w:rsidR="00B07CBD">
        <w:t>-</w:t>
      </w:r>
      <w:r>
        <w:t>Jul</w:t>
      </w:r>
      <w:r w:rsidR="00B07CBD">
        <w:t>-2015</w:t>
      </w:r>
      <w:r w:rsidR="00395525">
        <w:t>)</w:t>
      </w:r>
    </w:p>
    <w:p w14:paraId="04415DA3" w14:textId="19E96B5D" w:rsidR="009560F6" w:rsidRPr="00696632" w:rsidRDefault="009560F6" w:rsidP="00435908">
      <w:pPr>
        <w:pStyle w:val="ActionItem"/>
      </w:pPr>
      <w:r w:rsidRPr="009560F6">
        <w:t>ACTION ITEM</w:t>
      </w:r>
      <w:r>
        <w:t xml:space="preserve">: Supplier welcome package to incorporate the audit process (ETG Appendix) </w:t>
      </w:r>
      <w:r w:rsidR="00395525">
        <w:t>with demonstration</w:t>
      </w:r>
      <w:r w:rsidR="004C0F18">
        <w:t xml:space="preserve"> hardware description and Class 3 product requirement.  </w:t>
      </w:r>
      <w:r w:rsidR="00395525">
        <w:t>(</w:t>
      </w:r>
      <w:r>
        <w:t xml:space="preserve">Due Date: </w:t>
      </w:r>
      <w:r w:rsidR="00B07CBD">
        <w:t>25-Jun-2015</w:t>
      </w:r>
      <w:r w:rsidR="00395525">
        <w:t>)</w:t>
      </w:r>
    </w:p>
    <w:p w14:paraId="41300984" w14:textId="6B9BB715" w:rsidR="00955BD5" w:rsidRDefault="00955BD5" w:rsidP="00955BD5">
      <w:pPr>
        <w:pStyle w:val="Heading1"/>
      </w:pPr>
      <w:bookmarkStart w:id="169" w:name="_Toc414354274"/>
      <w:bookmarkStart w:id="170" w:name="_Toc414354144"/>
      <w:r w:rsidRPr="00955BD5">
        <w:t>Ballot Comment Resolution for AC 7120 and AC7121</w:t>
      </w:r>
      <w:bookmarkEnd w:id="169"/>
      <w:bookmarkEnd w:id="170"/>
      <w:r>
        <w:t xml:space="preserve"> – OPEN</w:t>
      </w:r>
    </w:p>
    <w:p w14:paraId="42460493" w14:textId="7C9A6413" w:rsidR="006E3563" w:rsidRPr="006E3563" w:rsidRDefault="006E3563" w:rsidP="007C6997">
      <w:pPr>
        <w:pStyle w:val="Body"/>
      </w:pPr>
      <w:r w:rsidRPr="006E3563">
        <w:t>All comments resolved</w:t>
      </w:r>
      <w:r w:rsidR="00566CA6">
        <w:t xml:space="preserve"> for AC7120D, </w:t>
      </w:r>
      <w:r w:rsidR="003A663D">
        <w:t xml:space="preserve">AC7120/1, </w:t>
      </w:r>
      <w:r w:rsidR="007D4F4A">
        <w:t>AC7121C</w:t>
      </w:r>
      <w:r w:rsidR="00566CA6">
        <w:t>, and AC7121/1</w:t>
      </w:r>
      <w:r w:rsidRPr="006E3563">
        <w:t>.</w:t>
      </w:r>
      <w:r w:rsidR="003A663D">
        <w:t xml:space="preserve">  See comment resolution in </w:t>
      </w:r>
      <w:proofErr w:type="spellStart"/>
      <w:r w:rsidR="003A663D">
        <w:t>eAuditnet</w:t>
      </w:r>
      <w:proofErr w:type="spellEnd"/>
      <w:r w:rsidR="003A663D">
        <w:t>.</w:t>
      </w:r>
    </w:p>
    <w:p w14:paraId="1ED6593A" w14:textId="68E0FA05" w:rsidR="007C6997" w:rsidRDefault="00740BBF" w:rsidP="00435908">
      <w:pPr>
        <w:pStyle w:val="ActionItem"/>
      </w:pPr>
      <w:r w:rsidRPr="00740BBF">
        <w:t>ACTION ITEM</w:t>
      </w:r>
      <w:r>
        <w:t xml:space="preserve">:  Scott Meyer to add clarification to AC7120 Handbook 4.13.C concerning requirements for certifications.  </w:t>
      </w:r>
      <w:r w:rsidR="00395525">
        <w:t>(</w:t>
      </w:r>
      <w:r>
        <w:t>D</w:t>
      </w:r>
      <w:r w:rsidR="008465AC">
        <w:t>ue</w:t>
      </w:r>
      <w:r>
        <w:t xml:space="preserve"> D</w:t>
      </w:r>
      <w:r w:rsidR="008465AC">
        <w:t>ate</w:t>
      </w:r>
      <w:r>
        <w:t>: 31</w:t>
      </w:r>
      <w:r w:rsidR="00B07CBD">
        <w:t>-</w:t>
      </w:r>
      <w:r>
        <w:t>Jul</w:t>
      </w:r>
      <w:r w:rsidR="00B07CBD">
        <w:t>-</w:t>
      </w:r>
      <w:r>
        <w:t>2015</w:t>
      </w:r>
      <w:r w:rsidR="00395525">
        <w:t>)</w:t>
      </w:r>
    </w:p>
    <w:p w14:paraId="66F0AF4B" w14:textId="6CD7689F" w:rsidR="000E3574" w:rsidRDefault="000E3574" w:rsidP="00435908">
      <w:pPr>
        <w:pStyle w:val="ActionItem"/>
      </w:pPr>
      <w:r>
        <w:t>ACTION ITEM</w:t>
      </w:r>
      <w:r w:rsidRPr="000E3574">
        <w:t>:</w:t>
      </w:r>
      <w:r>
        <w:t xml:space="preserve"> PRI </w:t>
      </w:r>
      <w:r w:rsidR="002667A5">
        <w:t xml:space="preserve">Staff </w:t>
      </w:r>
      <w:r>
        <w:t>to move 3.4.C from AC7120/1 to AC7120 rev D as new question 4.14.C.  Also add AC7121 6.1.P (modified for PBA), 6.2.P, and 6.3.P to AC7120 rev D as new procedure question</w:t>
      </w:r>
      <w:r w:rsidR="00CB1822">
        <w:t>s</w:t>
      </w:r>
      <w:r>
        <w:t xml:space="preserve">. </w:t>
      </w:r>
      <w:r w:rsidR="002F5D35" w:rsidRPr="002F5D35">
        <w:t>Add definitions for training, certification, and qualification from AC7121 to AC7120, with modifications discussed at the meeting.</w:t>
      </w:r>
      <w:r w:rsidR="00EB7AEF">
        <w:t xml:space="preserve"> </w:t>
      </w:r>
      <w:r w:rsidR="00395525">
        <w:t>(</w:t>
      </w:r>
      <w:r w:rsidR="008465AC">
        <w:t>Due Date:</w:t>
      </w:r>
      <w:r>
        <w:t xml:space="preserve"> </w:t>
      </w:r>
      <w:r w:rsidR="00B07CBD">
        <w:t>25-Jun-2015</w:t>
      </w:r>
      <w:r w:rsidR="00395525">
        <w:t>)</w:t>
      </w:r>
    </w:p>
    <w:p w14:paraId="5B4B6F3A" w14:textId="00CDA6F0" w:rsidR="006E3563" w:rsidRDefault="006E3563" w:rsidP="00435908">
      <w:pPr>
        <w:pStyle w:val="ActionItem"/>
      </w:pPr>
      <w:r>
        <w:t>ACTION ITEM</w:t>
      </w:r>
      <w:r w:rsidRPr="006E3563">
        <w:t>:</w:t>
      </w:r>
      <w:r>
        <w:t xml:space="preserve">  PRI </w:t>
      </w:r>
      <w:r w:rsidR="002667A5">
        <w:t xml:space="preserve">Staff </w:t>
      </w:r>
      <w:r>
        <w:t>to submit AC71</w:t>
      </w:r>
      <w:r w:rsidR="00C127B3">
        <w:t>2</w:t>
      </w:r>
      <w:r>
        <w:t xml:space="preserve">0 Rev D for 14-day affirmation ballot.  </w:t>
      </w:r>
      <w:r w:rsidR="00395525">
        <w:t>(</w:t>
      </w:r>
      <w:r>
        <w:t>Due Date</w:t>
      </w:r>
      <w:r w:rsidR="007055E1">
        <w:t>:</w:t>
      </w:r>
      <w:r>
        <w:t xml:space="preserve"> 31</w:t>
      </w:r>
      <w:r w:rsidR="00B07CBD">
        <w:t>-</w:t>
      </w:r>
      <w:r>
        <w:t>Jul</w:t>
      </w:r>
      <w:r w:rsidR="00B07CBD">
        <w:t>-</w:t>
      </w:r>
      <w:r>
        <w:t>2015</w:t>
      </w:r>
      <w:r w:rsidR="00395525">
        <w:t>)</w:t>
      </w:r>
    </w:p>
    <w:p w14:paraId="2F34FF79" w14:textId="022F994A" w:rsidR="00287311" w:rsidRDefault="00287311" w:rsidP="00435908">
      <w:pPr>
        <w:pStyle w:val="ActionItem"/>
      </w:pPr>
      <w:r>
        <w:lastRenderedPageBreak/>
        <w:t>ACTION ITEM</w:t>
      </w:r>
      <w:r w:rsidRPr="00287311">
        <w:t>:</w:t>
      </w:r>
      <w:r>
        <w:t xml:space="preserve"> PRI </w:t>
      </w:r>
      <w:r w:rsidR="002667A5">
        <w:t xml:space="preserve">Staff </w:t>
      </w:r>
      <w:r>
        <w:t xml:space="preserve">to </w:t>
      </w:r>
      <w:r w:rsidR="00714DAC">
        <w:t xml:space="preserve">correct title and </w:t>
      </w:r>
      <w:r>
        <w:t xml:space="preserve">submit AC7120/1 for 14-day affirmation ballot.  </w:t>
      </w:r>
      <w:r w:rsidR="00395525">
        <w:t>(</w:t>
      </w:r>
      <w:r>
        <w:t>Due Date: 31</w:t>
      </w:r>
      <w:r w:rsidR="00B07CBD">
        <w:t>-J</w:t>
      </w:r>
      <w:r>
        <w:t>ul</w:t>
      </w:r>
      <w:r w:rsidR="00B07CBD">
        <w:t>-</w:t>
      </w:r>
      <w:r>
        <w:t>2015</w:t>
      </w:r>
      <w:r w:rsidR="00395525">
        <w:t>)</w:t>
      </w:r>
    </w:p>
    <w:p w14:paraId="78A2FA97" w14:textId="222BEA54" w:rsidR="007D4F4A" w:rsidRDefault="007D4F4A" w:rsidP="00435908">
      <w:pPr>
        <w:pStyle w:val="ActionItem"/>
      </w:pPr>
      <w:r>
        <w:t>ACTION ITEM</w:t>
      </w:r>
      <w:r w:rsidRPr="007D4F4A">
        <w:t>:</w:t>
      </w:r>
      <w:r>
        <w:t xml:space="preserve"> PRI </w:t>
      </w:r>
      <w:r w:rsidR="002667A5">
        <w:t xml:space="preserve">Staff </w:t>
      </w:r>
      <w:r>
        <w:t xml:space="preserve">to submit AC7121 Rev C for NMC approval.  Due Date: </w:t>
      </w:r>
      <w:r w:rsidR="00395525">
        <w:t>(</w:t>
      </w:r>
      <w:r w:rsidR="00566CA6">
        <w:t>7</w:t>
      </w:r>
      <w:r w:rsidR="00B07CBD">
        <w:t>-</w:t>
      </w:r>
      <w:r w:rsidR="00566CA6">
        <w:t>Aug</w:t>
      </w:r>
      <w:r w:rsidR="00B07CBD">
        <w:t>-</w:t>
      </w:r>
      <w:r w:rsidR="00566CA6">
        <w:t>2015</w:t>
      </w:r>
      <w:r w:rsidR="00395525">
        <w:t>)</w:t>
      </w:r>
    </w:p>
    <w:p w14:paraId="6FB03B80" w14:textId="0D43C09E" w:rsidR="00566CA6" w:rsidRDefault="00566CA6" w:rsidP="00435908">
      <w:pPr>
        <w:pStyle w:val="ActionItem"/>
      </w:pPr>
      <w:r>
        <w:t xml:space="preserve">ACTION ITEM: PRI </w:t>
      </w:r>
      <w:r w:rsidR="002667A5">
        <w:t xml:space="preserve">Staff </w:t>
      </w:r>
      <w:r>
        <w:t xml:space="preserve">to submit AC7121/1 for NMC approval. Due Date: </w:t>
      </w:r>
      <w:r w:rsidR="00395525">
        <w:t>(</w:t>
      </w:r>
      <w:r>
        <w:t>7</w:t>
      </w:r>
      <w:r w:rsidR="00B07CBD">
        <w:t>-</w:t>
      </w:r>
      <w:r>
        <w:t>Aug</w:t>
      </w:r>
      <w:r w:rsidR="00B07CBD">
        <w:t>-2015</w:t>
      </w:r>
      <w:r w:rsidR="00395525">
        <w:t>)</w:t>
      </w:r>
    </w:p>
    <w:p w14:paraId="03311CDE" w14:textId="0D5A7A42" w:rsidR="00E7058C" w:rsidRPr="007C6997" w:rsidRDefault="00E7058C" w:rsidP="00435908">
      <w:pPr>
        <w:pStyle w:val="ActionItem"/>
      </w:pPr>
      <w:r>
        <w:t>ACTION ITEM: Scott Meyer to add training slash sheets to the auditor conference</w:t>
      </w:r>
      <w:r w:rsidR="00C127B3">
        <w:t xml:space="preserve"> agenda</w:t>
      </w:r>
      <w:r>
        <w:t xml:space="preserve">. </w:t>
      </w:r>
      <w:r w:rsidR="00395525">
        <w:t>(</w:t>
      </w:r>
      <w:r>
        <w:t xml:space="preserve">Due Date: </w:t>
      </w:r>
      <w:r w:rsidR="00B07CBD">
        <w:t>25-Jun-2015</w:t>
      </w:r>
    </w:p>
    <w:p w14:paraId="546C3474" w14:textId="6FFD3D15" w:rsidR="00955BD5" w:rsidRDefault="00955BD5" w:rsidP="00955BD5">
      <w:pPr>
        <w:pStyle w:val="Heading1"/>
      </w:pPr>
      <w:bookmarkStart w:id="171" w:name="_Toc414354288"/>
      <w:bookmarkStart w:id="172" w:name="_Toc414354158"/>
      <w:bookmarkStart w:id="173" w:name="_Toc413649189"/>
      <w:bookmarkStart w:id="174" w:name="_Toc403025773"/>
      <w:bookmarkStart w:id="175" w:name="_Toc401912082"/>
      <w:bookmarkStart w:id="176" w:name="_Toc390433540"/>
      <w:bookmarkStart w:id="177" w:name="_Toc390433438"/>
      <w:bookmarkStart w:id="178" w:name="_Toc390433336"/>
      <w:bookmarkStart w:id="179" w:name="_Toc390433131"/>
      <w:bookmarkStart w:id="180" w:name="_Toc390433028"/>
      <w:bookmarkStart w:id="181" w:name="_Toc390432920"/>
      <w:bookmarkStart w:id="182" w:name="_Toc390425525"/>
      <w:bookmarkStart w:id="183" w:name="_Toc390421250"/>
      <w:bookmarkStart w:id="184" w:name="_Toc381691505"/>
      <w:bookmarkStart w:id="185" w:name="_Toc381686887"/>
      <w:bookmarkStart w:id="186" w:name="_Toc381686468"/>
      <w:bookmarkStart w:id="187" w:name="_Toc380153393"/>
      <w:bookmarkStart w:id="188" w:name="_Toc368986552"/>
      <w:bookmarkStart w:id="189" w:name="_Toc360194122"/>
      <w:bookmarkStart w:id="190" w:name="_Toc360194007"/>
      <w:bookmarkStart w:id="191" w:name="_Toc360170455"/>
      <w:bookmarkStart w:id="192" w:name="_Toc360169382"/>
      <w:bookmarkStart w:id="193" w:name="_Toc360168671"/>
      <w:bookmarkStart w:id="194" w:name="_Toc358702849"/>
      <w:bookmarkStart w:id="195" w:name="_Toc358702745"/>
      <w:bookmarkStart w:id="196" w:name="_Toc358702278"/>
      <w:bookmarkStart w:id="197" w:name="_Toc350942169"/>
      <w:bookmarkStart w:id="198" w:name="_Toc350941407"/>
      <w:bookmarkStart w:id="199" w:name="_Toc350941279"/>
      <w:bookmarkStart w:id="200" w:name="_Toc350940932"/>
      <w:bookmarkStart w:id="201" w:name="_Toc350940789"/>
      <w:bookmarkStart w:id="202" w:name="_Toc350940213"/>
      <w:bookmarkStart w:id="203" w:name="_Toc350939990"/>
      <w:bookmarkStart w:id="204" w:name="_Toc350939875"/>
      <w:bookmarkStart w:id="205" w:name="_Toc350939780"/>
      <w:bookmarkStart w:id="206" w:name="_Toc350939695"/>
      <w:bookmarkStart w:id="207" w:name="_Toc350939618"/>
      <w:r>
        <w:t>Working Sessions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="005A6E29">
        <w:t xml:space="preserve"> and report-outs</w:t>
      </w:r>
      <w:r w:rsidR="00F240F7">
        <w:t>- OPEN</w:t>
      </w:r>
    </w:p>
    <w:p w14:paraId="4621237E" w14:textId="314D7236" w:rsidR="00955BD5" w:rsidRDefault="00D6165E" w:rsidP="00955BD5">
      <w:pPr>
        <w:pStyle w:val="Heading2"/>
      </w:pPr>
      <w:bookmarkStart w:id="208" w:name="_Toc414354289"/>
      <w:bookmarkStart w:id="209" w:name="_Toc414354159"/>
      <w:r>
        <w:t>AC</w:t>
      </w:r>
      <w:r w:rsidR="00955BD5" w:rsidRPr="00955BD5">
        <w:t>7119 slash</w:t>
      </w:r>
      <w:r>
        <w:t xml:space="preserve"> </w:t>
      </w:r>
      <w:r w:rsidR="00955BD5" w:rsidRPr="00955BD5">
        <w:t>sheets</w:t>
      </w:r>
      <w:bookmarkEnd w:id="208"/>
      <w:bookmarkEnd w:id="209"/>
    </w:p>
    <w:p w14:paraId="10BD1BD4" w14:textId="4FBE5105" w:rsidR="00DC67B6" w:rsidRDefault="005A6E29" w:rsidP="00DC67B6">
      <w:pPr>
        <w:pStyle w:val="Body"/>
      </w:pPr>
      <w:r>
        <w:t xml:space="preserve">Gilbert Shelby presented the progress of the AC7119 working group. </w:t>
      </w:r>
      <w:r w:rsidRPr="00394013">
        <w:t xml:space="preserve"> </w:t>
      </w:r>
      <w:r w:rsidR="008465AC">
        <w:t xml:space="preserve">The </w:t>
      </w:r>
      <w:r w:rsidR="00DC67B6" w:rsidRPr="00394013">
        <w:t>AC7119 sub-</w:t>
      </w:r>
      <w:r w:rsidR="00DC67B6">
        <w:t xml:space="preserve">team initiate a /4 training checklist. Sub-team recommends to retire </w:t>
      </w:r>
      <w:r w:rsidR="002F5D35">
        <w:t>AC7119</w:t>
      </w:r>
      <w:r w:rsidR="00DC67B6">
        <w:t xml:space="preserve">/1 as contents </w:t>
      </w:r>
      <w:r w:rsidR="002F5D35">
        <w:t>are</w:t>
      </w:r>
      <w:r w:rsidR="00DC67B6">
        <w:t xml:space="preserve"> covered in the core AC7119.  Sub-team completed</w:t>
      </w:r>
      <w:r w:rsidR="001802C2">
        <w:t xml:space="preserve"> a</w:t>
      </w:r>
      <w:r w:rsidR="00DC67B6">
        <w:t xml:space="preserve"> rough draft of updated</w:t>
      </w:r>
      <w:r w:rsidR="002F5D35">
        <w:t xml:space="preserve"> AC7119</w:t>
      </w:r>
      <w:r w:rsidR="00DC67B6">
        <w:t>/2 and will meet to complete prior to Pittsburgh.  The</w:t>
      </w:r>
      <w:r w:rsidR="002F5D35">
        <w:t xml:space="preserve"> AC7119</w:t>
      </w:r>
      <w:r w:rsidR="00DC67B6">
        <w:t xml:space="preserve">/3 </w:t>
      </w:r>
      <w:r w:rsidR="002F5D35" w:rsidRPr="002F5D35">
        <w:t>is on a path to retirement, which is dependent on IPC-6012D</w:t>
      </w:r>
      <w:r w:rsidR="002F5D35">
        <w:t>.</w:t>
      </w:r>
      <w:r w:rsidR="00DC67B6">
        <w:t xml:space="preserve"> </w:t>
      </w:r>
      <w:r w:rsidR="002F5D35">
        <w:t xml:space="preserve">It </w:t>
      </w:r>
      <w:r w:rsidR="00DC67B6">
        <w:t xml:space="preserve">will be incorporated into AC7119 as a hole-filling section. </w:t>
      </w:r>
    </w:p>
    <w:p w14:paraId="6507F599" w14:textId="4035AA05" w:rsidR="00DC67B6" w:rsidRPr="00DC67B6" w:rsidRDefault="00DC67B6" w:rsidP="00435908">
      <w:pPr>
        <w:pStyle w:val="ActionItem"/>
      </w:pPr>
      <w:r w:rsidRPr="00E32487">
        <w:t xml:space="preserve">ACTION ITEM: </w:t>
      </w:r>
      <w:r>
        <w:t xml:space="preserve">PRI </w:t>
      </w:r>
      <w:r w:rsidR="002667A5">
        <w:t xml:space="preserve">Staff </w:t>
      </w:r>
      <w:r>
        <w:t xml:space="preserve">to schedule </w:t>
      </w:r>
      <w:r w:rsidR="00714DAC">
        <w:t xml:space="preserve">AC7119 </w:t>
      </w:r>
      <w:r>
        <w:t xml:space="preserve">sub-team </w:t>
      </w:r>
      <w:proofErr w:type="spellStart"/>
      <w:r>
        <w:t>Webex</w:t>
      </w:r>
      <w:proofErr w:type="spellEnd"/>
      <w:r>
        <w:t xml:space="preserve"> for 14 July, 11 August, </w:t>
      </w:r>
      <w:r w:rsidR="001802C2">
        <w:t>and 15</w:t>
      </w:r>
      <w:r>
        <w:t xml:space="preserve"> September.  </w:t>
      </w:r>
      <w:r w:rsidR="00395525">
        <w:t>(</w:t>
      </w:r>
      <w:r>
        <w:t>Due Date:</w:t>
      </w:r>
      <w:r w:rsidR="00395525">
        <w:t xml:space="preserve"> </w:t>
      </w:r>
      <w:r>
        <w:t>7</w:t>
      </w:r>
      <w:r w:rsidR="00B07CBD">
        <w:t>-</w:t>
      </w:r>
      <w:r>
        <w:t>Jul</w:t>
      </w:r>
      <w:r w:rsidR="00B07CBD">
        <w:t>-2015</w:t>
      </w:r>
      <w:r w:rsidR="00395525">
        <w:t>)</w:t>
      </w:r>
    </w:p>
    <w:p w14:paraId="0E345A67" w14:textId="03235D42" w:rsidR="00955BD5" w:rsidRPr="00955BD5" w:rsidRDefault="00D6165E" w:rsidP="00955BD5">
      <w:pPr>
        <w:pStyle w:val="Heading2"/>
      </w:pPr>
      <w:bookmarkStart w:id="210" w:name="_Toc414354290"/>
      <w:bookmarkStart w:id="211" w:name="_Toc414354160"/>
      <w:r>
        <w:t>AC</w:t>
      </w:r>
      <w:r w:rsidR="00955BD5" w:rsidRPr="00955BD5">
        <w:t>7119/4 for high speed RF</w:t>
      </w:r>
      <w:bookmarkEnd w:id="210"/>
      <w:bookmarkEnd w:id="211"/>
      <w:r w:rsidR="00DC67B6">
        <w:t xml:space="preserve"> – see 13.1 for update.</w:t>
      </w:r>
    </w:p>
    <w:p w14:paraId="3EFBD29C" w14:textId="6BD36D56" w:rsidR="00955BD5" w:rsidRDefault="00D6165E" w:rsidP="00955BD5">
      <w:pPr>
        <w:pStyle w:val="Heading2"/>
      </w:pPr>
      <w:bookmarkStart w:id="212" w:name="_Toc414354291"/>
      <w:bookmarkStart w:id="213" w:name="_Toc414354161"/>
      <w:r>
        <w:t>AC</w:t>
      </w:r>
      <w:r w:rsidR="00955BD5" w:rsidRPr="00955BD5">
        <w:t>712</w:t>
      </w:r>
      <w:r w:rsidR="002C1D68">
        <w:t>0</w:t>
      </w:r>
      <w:r w:rsidR="00955BD5" w:rsidRPr="00955BD5">
        <w:t xml:space="preserve"> </w:t>
      </w:r>
      <w:r w:rsidR="002C1D68">
        <w:t>H</w:t>
      </w:r>
      <w:r w:rsidR="00955BD5" w:rsidRPr="00955BD5">
        <w:t>andbook</w:t>
      </w:r>
      <w:bookmarkEnd w:id="212"/>
      <w:bookmarkEnd w:id="213"/>
      <w:r w:rsidR="00DC67B6">
        <w:t xml:space="preserve"> </w:t>
      </w:r>
    </w:p>
    <w:p w14:paraId="6F97C376" w14:textId="1C7D68FC" w:rsidR="00DC67B6" w:rsidRDefault="005A6E29" w:rsidP="00DC67B6">
      <w:pPr>
        <w:pStyle w:val="Body"/>
      </w:pPr>
      <w:r>
        <w:t xml:space="preserve">Scott Meyer presented the status on the AC7120 handbook. </w:t>
      </w:r>
      <w:r w:rsidR="001802C2">
        <w:t>The h</w:t>
      </w:r>
      <w:r w:rsidR="00DC67B6">
        <w:t>andbook has been edited for continuity of formatting, improved question guidance, and updated some standards references.</w:t>
      </w:r>
    </w:p>
    <w:p w14:paraId="2C326C4C" w14:textId="4F96EE8D" w:rsidR="00DC67B6" w:rsidRDefault="00DC67B6" w:rsidP="00435908">
      <w:pPr>
        <w:pStyle w:val="ActionItem"/>
      </w:pPr>
      <w:r w:rsidRPr="00394013">
        <w:t>ACTION ITEM:</w:t>
      </w:r>
      <w:r>
        <w:t xml:space="preserve">  Scott Meyer to submit the completed </w:t>
      </w:r>
      <w:r w:rsidR="005A6E29">
        <w:t>handbook</w:t>
      </w:r>
      <w:r>
        <w:t xml:space="preserve"> to PRI for publishing</w:t>
      </w:r>
      <w:r w:rsidR="005A6E29">
        <w:t xml:space="preserve"> in eAuditNet</w:t>
      </w:r>
      <w:r>
        <w:t xml:space="preserve">.  </w:t>
      </w:r>
      <w:r w:rsidR="00395525">
        <w:t>(</w:t>
      </w:r>
      <w:r>
        <w:t>Due Date</w:t>
      </w:r>
      <w:r w:rsidR="00B07CBD">
        <w:t>:</w:t>
      </w:r>
      <w:r>
        <w:t xml:space="preserve"> 17</w:t>
      </w:r>
      <w:r w:rsidR="00B07CBD">
        <w:t>-</w:t>
      </w:r>
      <w:r>
        <w:t>Jul</w:t>
      </w:r>
      <w:r w:rsidR="00B07CBD">
        <w:t>-</w:t>
      </w:r>
      <w:r>
        <w:t>2015</w:t>
      </w:r>
      <w:r w:rsidR="00395525">
        <w:t>)</w:t>
      </w:r>
    </w:p>
    <w:p w14:paraId="42C08AC0" w14:textId="59E1CD4D" w:rsidR="00DC67B6" w:rsidRPr="00DC67B6" w:rsidRDefault="00DC67B6" w:rsidP="00435908">
      <w:pPr>
        <w:pStyle w:val="ActionItem"/>
      </w:pPr>
      <w:r>
        <w:t xml:space="preserve">ACTION ITEM: PRI </w:t>
      </w:r>
      <w:r w:rsidR="002667A5">
        <w:t xml:space="preserve">Staff </w:t>
      </w:r>
      <w:r>
        <w:t xml:space="preserve">to remove existing AC7120C Handbook from </w:t>
      </w:r>
      <w:proofErr w:type="spellStart"/>
      <w:r>
        <w:t>eAuditnet</w:t>
      </w:r>
      <w:proofErr w:type="spellEnd"/>
      <w:r>
        <w:t xml:space="preserve"> due to compatibility problems.  </w:t>
      </w:r>
      <w:r w:rsidR="00395525">
        <w:t>(</w:t>
      </w:r>
      <w:r>
        <w:t>Due Date</w:t>
      </w:r>
      <w:r w:rsidR="00D6165E">
        <w:t>:</w:t>
      </w:r>
      <w:r w:rsidR="00395525">
        <w:t xml:space="preserve"> </w:t>
      </w:r>
      <w:r>
        <w:t>30</w:t>
      </w:r>
      <w:r w:rsidR="00B07CBD">
        <w:t>-</w:t>
      </w:r>
      <w:r>
        <w:t>Jun</w:t>
      </w:r>
      <w:r w:rsidR="00B07CBD">
        <w:t>-2015</w:t>
      </w:r>
      <w:r w:rsidR="00395525">
        <w:t>)</w:t>
      </w:r>
    </w:p>
    <w:p w14:paraId="471CA171" w14:textId="16831515" w:rsidR="00955BD5" w:rsidRDefault="002C1D68" w:rsidP="00955BD5">
      <w:pPr>
        <w:pStyle w:val="Heading2"/>
      </w:pPr>
      <w:r>
        <w:t xml:space="preserve">AC7120 Slash Sheet </w:t>
      </w:r>
    </w:p>
    <w:p w14:paraId="5071FA79" w14:textId="5336FA71" w:rsidR="00DC67B6" w:rsidRDefault="005A6E29" w:rsidP="00DC67B6">
      <w:pPr>
        <w:pStyle w:val="Body"/>
      </w:pPr>
      <w:r>
        <w:t>Richard Rumas reported on the status of</w:t>
      </w:r>
      <w:r w:rsidR="002C1D68">
        <w:t xml:space="preserve"> the AC7120 slash sheets</w:t>
      </w:r>
      <w:r>
        <w:t xml:space="preserve">. </w:t>
      </w:r>
      <w:r w:rsidR="00DC67B6">
        <w:t>Comments from</w:t>
      </w:r>
      <w:r w:rsidR="002C1D68">
        <w:t xml:space="preserve"> an earlier Task</w:t>
      </w:r>
      <w:r w:rsidR="00DC67B6">
        <w:t xml:space="preserve"> Group review were reviewed and changes added to the b-</w:t>
      </w:r>
      <w:proofErr w:type="spellStart"/>
      <w:r w:rsidR="00DC67B6">
        <w:t>frm</w:t>
      </w:r>
      <w:proofErr w:type="spellEnd"/>
      <w:r w:rsidR="00DC67B6">
        <w:t>. Major changes are deferred until the next revision</w:t>
      </w:r>
      <w:r w:rsidR="002F5D35">
        <w:t xml:space="preserve"> (revision E)</w:t>
      </w:r>
      <w:r w:rsidR="00DC67B6">
        <w:t>.  Goal is to maintain four audit days for a full scope audit.</w:t>
      </w:r>
    </w:p>
    <w:p w14:paraId="46D63386" w14:textId="4BD2C3EE" w:rsidR="002C1D68" w:rsidRDefault="00DC67B6" w:rsidP="002C1D68">
      <w:pPr>
        <w:pStyle w:val="ActionItem"/>
      </w:pPr>
      <w:r w:rsidRPr="00DC67B6">
        <w:t>ACTION ITEM</w:t>
      </w:r>
      <w:r>
        <w:t xml:space="preserve">: Richard Rumas to send notes out to </w:t>
      </w:r>
      <w:r w:rsidR="005A6E29">
        <w:t xml:space="preserve">the AC7120 </w:t>
      </w:r>
      <w:r>
        <w:t xml:space="preserve">working group and those </w:t>
      </w:r>
      <w:r w:rsidR="002C1D68">
        <w:t xml:space="preserve">individuals </w:t>
      </w:r>
      <w:r>
        <w:t xml:space="preserve">that commented.  </w:t>
      </w:r>
      <w:r w:rsidR="00395525">
        <w:t>(</w:t>
      </w:r>
      <w:r>
        <w:t xml:space="preserve">Due Date:  </w:t>
      </w:r>
      <w:r w:rsidR="00B07CBD">
        <w:t>25-Jun-2015</w:t>
      </w:r>
      <w:r w:rsidR="00395525">
        <w:t>)</w:t>
      </w:r>
    </w:p>
    <w:p w14:paraId="34FDE171" w14:textId="521DE3FA" w:rsidR="002C1D68" w:rsidRDefault="002C1D68" w:rsidP="002C1D68">
      <w:pPr>
        <w:pStyle w:val="ActionItem"/>
      </w:pPr>
      <w:r w:rsidRPr="00C678E5">
        <w:t>ACTION ITEM</w:t>
      </w:r>
      <w:r>
        <w:t>: Scott Meyer to arrange with Chemical Processing</w:t>
      </w:r>
      <w:r w:rsidR="00A02904">
        <w:t xml:space="preserve"> </w:t>
      </w:r>
      <w:r w:rsidR="002372E2">
        <w:t>(CP)</w:t>
      </w:r>
      <w:r>
        <w:t xml:space="preserve"> Task Group (Karyn Deming) to discuss CP issues at the </w:t>
      </w:r>
      <w:r w:rsidR="002F5D35">
        <w:t>October 2015 Nadcap meeting</w:t>
      </w:r>
      <w:r>
        <w:t xml:space="preserve"> with breaking out the checklist by technology.  </w:t>
      </w:r>
      <w:r w:rsidR="00395525">
        <w:t>(</w:t>
      </w:r>
      <w:r>
        <w:t>Due Date: 31-Jul-2015</w:t>
      </w:r>
      <w:r w:rsidR="00395525">
        <w:t>)</w:t>
      </w:r>
      <w:r w:rsidRPr="006F60FD">
        <w:t xml:space="preserve"> </w:t>
      </w:r>
    </w:p>
    <w:p w14:paraId="1F0D2310" w14:textId="5A9DB89A" w:rsidR="002C1D68" w:rsidRPr="00435908" w:rsidRDefault="002C1D68" w:rsidP="002C1D68">
      <w:pPr>
        <w:pStyle w:val="ActionItem"/>
      </w:pPr>
      <w:r w:rsidRPr="00435908">
        <w:t xml:space="preserve">ACTION ITEM: AC7120 sub-team to review J-STD-001 requirements (shall statements) for any requirements not covered by checklist.  </w:t>
      </w:r>
      <w:r w:rsidR="00395525">
        <w:t>(</w:t>
      </w:r>
      <w:r w:rsidRPr="00435908">
        <w:t>Due Date: 22</w:t>
      </w:r>
      <w:r>
        <w:t>-</w:t>
      </w:r>
      <w:r w:rsidRPr="00435908">
        <w:t>Feb</w:t>
      </w:r>
      <w:r>
        <w:t>-2016</w:t>
      </w:r>
      <w:r w:rsidR="00395525">
        <w:t>)</w:t>
      </w:r>
    </w:p>
    <w:p w14:paraId="47F07899" w14:textId="6CCD9D6E" w:rsidR="00955BD5" w:rsidRDefault="002C1D68" w:rsidP="00955BD5">
      <w:pPr>
        <w:pStyle w:val="Heading2"/>
      </w:pPr>
      <w:bookmarkStart w:id="214" w:name="_Toc414354293"/>
      <w:bookmarkStart w:id="215" w:name="_Toc414354163"/>
      <w:r>
        <w:t>New Supplier Welcome P</w:t>
      </w:r>
      <w:r w:rsidR="00696632" w:rsidRPr="00696632">
        <w:t>ackage</w:t>
      </w:r>
      <w:bookmarkEnd w:id="214"/>
      <w:bookmarkEnd w:id="215"/>
    </w:p>
    <w:p w14:paraId="56318C62" w14:textId="53FA957A" w:rsidR="00DC67B6" w:rsidRDefault="005A6E29" w:rsidP="00DC67B6">
      <w:pPr>
        <w:pStyle w:val="Body"/>
      </w:pPr>
      <w:r>
        <w:t xml:space="preserve">Doug Schueller reported on the status of the </w:t>
      </w:r>
      <w:r w:rsidR="002F5D35">
        <w:t xml:space="preserve">New </w:t>
      </w:r>
      <w:r>
        <w:t xml:space="preserve">Supplier Welcome package.  </w:t>
      </w:r>
      <w:r w:rsidR="001802C2">
        <w:t xml:space="preserve">With many </w:t>
      </w:r>
      <w:r w:rsidR="002F5D35">
        <w:t>s</w:t>
      </w:r>
      <w:r w:rsidR="001802C2">
        <w:t xml:space="preserve">uppliers not </w:t>
      </w:r>
      <w:r w:rsidR="00DD4ACA">
        <w:t>fully preparing for an initial audit</w:t>
      </w:r>
      <w:r w:rsidR="001802C2">
        <w:t>, the Task Group decided to create a ‘Welcome Package’</w:t>
      </w:r>
      <w:r w:rsidR="00DD4ACA">
        <w:t>.</w:t>
      </w:r>
      <w:r w:rsidR="001802C2">
        <w:t xml:space="preserve">  The package is a presentation </w:t>
      </w:r>
      <w:r w:rsidR="00DD4ACA">
        <w:t>containing</w:t>
      </w:r>
      <w:r w:rsidR="001802C2">
        <w:t xml:space="preserve"> </w:t>
      </w:r>
      <w:r w:rsidR="001F3052">
        <w:t xml:space="preserve">helpful information on audit preparation and </w:t>
      </w:r>
      <w:r w:rsidR="001802C2">
        <w:t>where information can be found</w:t>
      </w:r>
      <w:r w:rsidR="001F3052">
        <w:t>.</w:t>
      </w:r>
      <w:r w:rsidR="001802C2">
        <w:t xml:space="preserve"> </w:t>
      </w:r>
      <w:r w:rsidR="002F5D35">
        <w:t>See more discussion in Section 18.0 for actions.</w:t>
      </w:r>
    </w:p>
    <w:p w14:paraId="45E3807D" w14:textId="2B867C85" w:rsidR="00DC67B6" w:rsidRDefault="00DC67B6" w:rsidP="00435908">
      <w:pPr>
        <w:pStyle w:val="ActionItem"/>
      </w:pPr>
      <w:r w:rsidRPr="00394013">
        <w:t>ACTION ITEM</w:t>
      </w:r>
      <w:r>
        <w:t xml:space="preserve">:  Doug Schueller to send package to PRI for distribution.  </w:t>
      </w:r>
      <w:r w:rsidR="00395525">
        <w:t>(</w:t>
      </w:r>
      <w:r>
        <w:t xml:space="preserve">Due Date: </w:t>
      </w:r>
      <w:r w:rsidR="00B07CBD">
        <w:t>25-Jun-2015</w:t>
      </w:r>
      <w:r w:rsidR="00395525">
        <w:t>)</w:t>
      </w:r>
    </w:p>
    <w:p w14:paraId="73310DD2" w14:textId="6060EDAF" w:rsidR="00696632" w:rsidRDefault="00696632" w:rsidP="00696632">
      <w:pPr>
        <w:pStyle w:val="Heading1"/>
      </w:pPr>
      <w:bookmarkStart w:id="216" w:name="_Toc414354316"/>
      <w:bookmarkStart w:id="217" w:name="_Toc414354186"/>
      <w:r w:rsidRPr="00696632">
        <w:lastRenderedPageBreak/>
        <w:t>Various Report Outs</w:t>
      </w:r>
      <w:bookmarkEnd w:id="216"/>
      <w:bookmarkEnd w:id="217"/>
      <w:r>
        <w:t xml:space="preserve"> – OPEN</w:t>
      </w:r>
    </w:p>
    <w:p w14:paraId="6C67C0A5" w14:textId="79246128" w:rsidR="00696632" w:rsidRDefault="00A02904" w:rsidP="00696632">
      <w:pPr>
        <w:pStyle w:val="Heading2"/>
      </w:pPr>
      <w:bookmarkStart w:id="218" w:name="_Toc414354317"/>
      <w:bookmarkStart w:id="219" w:name="_Toc414354187"/>
      <w:bookmarkStart w:id="220" w:name="_Toc350941436"/>
      <w:bookmarkStart w:id="221" w:name="_Toc350941308"/>
      <w:bookmarkStart w:id="222" w:name="_Toc350940961"/>
      <w:bookmarkStart w:id="223" w:name="_Toc350940818"/>
      <w:bookmarkStart w:id="224" w:name="_Toc350940242"/>
      <w:bookmarkStart w:id="225" w:name="_Toc350940019"/>
      <w:bookmarkStart w:id="226" w:name="_Toc350939904"/>
      <w:r>
        <w:t>Aerospace Quality Systems</w:t>
      </w:r>
      <w:r w:rsidRPr="00696632">
        <w:t xml:space="preserve"> </w:t>
      </w:r>
      <w:r>
        <w:t>(</w:t>
      </w:r>
      <w:r w:rsidR="00696632" w:rsidRPr="00696632">
        <w:t>AQS</w:t>
      </w:r>
      <w:r>
        <w:t>)</w:t>
      </w:r>
      <w:r w:rsidR="00696632" w:rsidRPr="00696632">
        <w:t xml:space="preserve"> Liaison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69E2F71E" w14:textId="3237831C" w:rsidR="00321CC6" w:rsidRPr="00321CC6" w:rsidRDefault="00321CC6" w:rsidP="00321CC6">
      <w:pPr>
        <w:pStyle w:val="Body"/>
      </w:pPr>
      <w:r>
        <w:t>Gilbert Shelby gave status from the Tuesday AQS</w:t>
      </w:r>
      <w:r w:rsidR="00A02904">
        <w:t xml:space="preserve"> </w:t>
      </w:r>
      <w:r w:rsidR="002C1D68">
        <w:t>Liaison</w:t>
      </w:r>
      <w:r>
        <w:t xml:space="preserve"> </w:t>
      </w:r>
      <w:r w:rsidR="009D7195">
        <w:t>M</w:t>
      </w:r>
      <w:r>
        <w:t xml:space="preserve">eeting.  </w:t>
      </w:r>
      <w:r w:rsidR="00A02904">
        <w:t>The m</w:t>
      </w:r>
      <w:r>
        <w:t xml:space="preserve">ajor topic discussed </w:t>
      </w:r>
      <w:r w:rsidR="00A02904">
        <w:t>was</w:t>
      </w:r>
      <w:r>
        <w:t xml:space="preserve"> the difference between non-compliance and non-conformance.  Guidance was non-compliance is </w:t>
      </w:r>
      <w:r w:rsidR="00A02904">
        <w:t>contractual;</w:t>
      </w:r>
      <w:r>
        <w:t xml:space="preserve"> non-conformance is more applicable to checklist content.</w:t>
      </w:r>
    </w:p>
    <w:p w14:paraId="54642463" w14:textId="77777777" w:rsidR="00696632" w:rsidRDefault="00696632" w:rsidP="00696632">
      <w:pPr>
        <w:pStyle w:val="Heading2"/>
      </w:pPr>
      <w:bookmarkStart w:id="227" w:name="_Toc414354318"/>
      <w:bookmarkStart w:id="228" w:name="_Toc414354188"/>
      <w:r w:rsidRPr="00696632">
        <w:t>SSC</w:t>
      </w:r>
      <w:bookmarkEnd w:id="227"/>
      <w:bookmarkEnd w:id="228"/>
    </w:p>
    <w:p w14:paraId="77CE9A09" w14:textId="744F2A64" w:rsidR="00321CC6" w:rsidRPr="00321CC6" w:rsidRDefault="00321CC6" w:rsidP="00321CC6">
      <w:pPr>
        <w:pStyle w:val="Body"/>
      </w:pPr>
      <w:r>
        <w:t xml:space="preserve">Doug Schueller gave the status of the Tuesday night </w:t>
      </w:r>
      <w:r w:rsidR="00D6165E">
        <w:t>SSC meeting. Topics discussed w</w:t>
      </w:r>
      <w:r>
        <w:t xml:space="preserve">ere: auditor and staff engineer consistency, </w:t>
      </w:r>
      <w:r w:rsidR="00680FE5">
        <w:t xml:space="preserve">possibility </w:t>
      </w:r>
      <w:r>
        <w:t>of a</w:t>
      </w:r>
      <w:r w:rsidR="00680FE5">
        <w:t xml:space="preserve"> </w:t>
      </w:r>
      <w:r w:rsidR="00A02904">
        <w:t>Nadcap Management Council (</w:t>
      </w:r>
      <w:r>
        <w:t>NMC</w:t>
      </w:r>
      <w:r w:rsidR="00A02904">
        <w:t>)</w:t>
      </w:r>
      <w:r>
        <w:t xml:space="preserve"> forum for technical matters, recognition for supplier excellence in the program, and how can the SSC service the suppliers which do not attend the conferences.</w:t>
      </w:r>
    </w:p>
    <w:p w14:paraId="76199FC9" w14:textId="636855FC" w:rsidR="00696632" w:rsidRDefault="00696632" w:rsidP="00696632">
      <w:pPr>
        <w:pStyle w:val="Heading2"/>
      </w:pPr>
      <w:bookmarkStart w:id="229" w:name="_Toc414354319"/>
      <w:bookmarkStart w:id="230" w:name="_Toc414354189"/>
      <w:r w:rsidRPr="00696632">
        <w:t>Planning &amp; Op</w:t>
      </w:r>
      <w:r w:rsidR="009D7195">
        <w:t>eration</w:t>
      </w:r>
      <w:r w:rsidR="00A02904">
        <w:t>s</w:t>
      </w:r>
      <w:bookmarkEnd w:id="229"/>
      <w:bookmarkEnd w:id="230"/>
    </w:p>
    <w:p w14:paraId="5C728FCB" w14:textId="53DD0693" w:rsidR="00680FE5" w:rsidRDefault="00680FE5" w:rsidP="00680FE5">
      <w:pPr>
        <w:pStyle w:val="Body"/>
      </w:pPr>
      <w:r>
        <w:t>Richard Rumas summarized the Planning &amp; Op</w:t>
      </w:r>
      <w:r w:rsidR="009D7195">
        <w:t>erations</w:t>
      </w:r>
      <w:r>
        <w:t xml:space="preserve"> </w:t>
      </w:r>
      <w:r w:rsidR="009D7195">
        <w:t>M</w:t>
      </w:r>
      <w:r>
        <w:t>eeting.  T</w:t>
      </w:r>
      <w:r w:rsidR="009D7195">
        <w:t>opics presented were</w:t>
      </w:r>
      <w:r>
        <w:t xml:space="preserve"> the inability for the task group to decline Risk Mitigation, proposed update to the observer form to add contract flow down, observer report, adding a sub-team for audit effectiveness, </w:t>
      </w:r>
      <w:r w:rsidR="00C678E5">
        <w:t>establishing a group (separate TG or within a TG) to</w:t>
      </w:r>
      <w:r w:rsidR="009D7195">
        <w:t xml:space="preserve"> accredit AMS2750 </w:t>
      </w:r>
      <w:proofErr w:type="spellStart"/>
      <w:r w:rsidR="009D7195">
        <w:t>p</w:t>
      </w:r>
      <w:r w:rsidR="00C678E5">
        <w:t>yrometry</w:t>
      </w:r>
      <w:proofErr w:type="spellEnd"/>
      <w:r w:rsidR="00C678E5">
        <w:t xml:space="preserve"> suppliers</w:t>
      </w:r>
      <w:r w:rsidR="00D6165E">
        <w:t>.</w:t>
      </w:r>
    </w:p>
    <w:p w14:paraId="3E65555F" w14:textId="0EEBAF0F" w:rsidR="00C678E5" w:rsidRPr="00680FE5" w:rsidRDefault="006F60FD" w:rsidP="00435908">
      <w:pPr>
        <w:pStyle w:val="ActionItem"/>
      </w:pPr>
      <w:r w:rsidRPr="00435908">
        <w:t>ACTION ITEM:  Susan Frailey to schedule smart checklist discussion with Jon Steffey for</w:t>
      </w:r>
      <w:r>
        <w:t xml:space="preserve"> </w:t>
      </w:r>
      <w:r w:rsidRPr="00435908">
        <w:t>Pitts</w:t>
      </w:r>
      <w:r w:rsidR="00395525">
        <w:t>burgh meeting.  (Due D</w:t>
      </w:r>
      <w:r w:rsidRPr="00435908">
        <w:t xml:space="preserve">ate: </w:t>
      </w:r>
      <w:r>
        <w:t>25-Jun-2015</w:t>
      </w:r>
      <w:r w:rsidR="00395525">
        <w:t>)</w:t>
      </w:r>
    </w:p>
    <w:p w14:paraId="47148ED4" w14:textId="46035BE3" w:rsidR="00696632" w:rsidRDefault="00696632" w:rsidP="00696632">
      <w:pPr>
        <w:pStyle w:val="Heading2"/>
      </w:pPr>
      <w:bookmarkStart w:id="231" w:name="_Toc414354320"/>
      <w:bookmarkStart w:id="232" w:name="_Toc414354190"/>
      <w:r>
        <w:t>IPC</w:t>
      </w:r>
      <w:bookmarkEnd w:id="231"/>
      <w:bookmarkEnd w:id="232"/>
    </w:p>
    <w:p w14:paraId="3250AAA8" w14:textId="221EA2B5" w:rsidR="00C678E5" w:rsidRPr="00C678E5" w:rsidRDefault="008C6689" w:rsidP="00C678E5">
      <w:pPr>
        <w:pStyle w:val="Body"/>
      </w:pPr>
      <w:r>
        <w:t>Scott Meyer presented</w:t>
      </w:r>
      <w:r w:rsidR="009A1B26">
        <w:t xml:space="preserve"> the latest status of </w:t>
      </w:r>
      <w:r>
        <w:t xml:space="preserve">applicable </w:t>
      </w:r>
      <w:r w:rsidR="009A1B26">
        <w:t>IPC standards.</w:t>
      </w:r>
    </w:p>
    <w:p w14:paraId="6F4FE206" w14:textId="6AF2C846" w:rsidR="00696632" w:rsidRDefault="00696632" w:rsidP="00696632">
      <w:pPr>
        <w:pStyle w:val="Heading1"/>
      </w:pPr>
      <w:bookmarkStart w:id="233" w:name="_Toc414354322"/>
      <w:bookmarkStart w:id="234" w:name="_Toc414354192"/>
      <w:r w:rsidRPr="00696632">
        <w:t>Surface Energy Sub Team Report Out</w:t>
      </w:r>
      <w:bookmarkEnd w:id="233"/>
      <w:bookmarkEnd w:id="234"/>
      <w:r>
        <w:t xml:space="preserve"> – OPEN</w:t>
      </w:r>
    </w:p>
    <w:p w14:paraId="01C9C49E" w14:textId="7E8F603A" w:rsidR="00696632" w:rsidRDefault="00C566B7" w:rsidP="00696632">
      <w:pPr>
        <w:pStyle w:val="Body"/>
      </w:pPr>
      <w:r>
        <w:t>Jose Lage</w:t>
      </w:r>
      <w:r w:rsidR="00A67F8A">
        <w:t xml:space="preserve">s presented an update of </w:t>
      </w:r>
      <w:r w:rsidR="005D7A90">
        <w:t>printed circuit board assemblies (</w:t>
      </w:r>
      <w:r w:rsidR="00A67F8A">
        <w:t>PCBA</w:t>
      </w:r>
      <w:r w:rsidR="005D7A90">
        <w:t>)</w:t>
      </w:r>
      <w:r w:rsidR="00A67F8A">
        <w:t xml:space="preserve"> cleanliness requirements.</w:t>
      </w:r>
    </w:p>
    <w:p w14:paraId="777CC208" w14:textId="705F200B" w:rsidR="008145CC" w:rsidRDefault="008145CC" w:rsidP="00435908">
      <w:pPr>
        <w:pStyle w:val="ActionItem"/>
      </w:pPr>
      <w:r w:rsidRPr="008145CC">
        <w:t>ACTION ITEM</w:t>
      </w:r>
      <w:r w:rsidR="005904C0">
        <w:t>: Jose Lage</w:t>
      </w:r>
      <w:r>
        <w:t>s to prepare an email for the Task Group (PRI to send out) to request cleanliness requirements</w:t>
      </w:r>
      <w:r w:rsidR="002F5D35">
        <w:t xml:space="preserve"> and</w:t>
      </w:r>
      <w:r>
        <w:t xml:space="preserve"> any data validating the requirement.  </w:t>
      </w:r>
      <w:r w:rsidR="002F5D35" w:rsidRPr="002F5D35">
        <w:t xml:space="preserve">In addition, it will be </w:t>
      </w:r>
      <w:proofErr w:type="gramStart"/>
      <w:r w:rsidR="002F5D35" w:rsidRPr="002F5D35">
        <w:t>requested  if</w:t>
      </w:r>
      <w:proofErr w:type="gramEnd"/>
      <w:r w:rsidR="002F5D35" w:rsidRPr="002F5D35">
        <w:t xml:space="preserve"> surface energy is used.</w:t>
      </w:r>
      <w:r w:rsidR="005C79B1">
        <w:t xml:space="preserve">  </w:t>
      </w:r>
      <w:r w:rsidR="00395525">
        <w:t>(</w:t>
      </w:r>
      <w:r>
        <w:t>Due Date: 31</w:t>
      </w:r>
      <w:r w:rsidR="00B07CBD">
        <w:t>-</w:t>
      </w:r>
      <w:r>
        <w:t>Ju</w:t>
      </w:r>
      <w:r w:rsidR="00B07CBD">
        <w:t>l-</w:t>
      </w:r>
      <w:r>
        <w:t>2015</w:t>
      </w:r>
      <w:r w:rsidR="00395525">
        <w:t>)</w:t>
      </w:r>
    </w:p>
    <w:p w14:paraId="1BACA9A5" w14:textId="6DEB62C6" w:rsidR="003B469C" w:rsidRDefault="003B469C" w:rsidP="00435908">
      <w:pPr>
        <w:pStyle w:val="ActionItem"/>
      </w:pPr>
      <w:r>
        <w:t>ACTION ITEM</w:t>
      </w:r>
      <w:r w:rsidRPr="003B469C">
        <w:t>:</w:t>
      </w:r>
      <w:r>
        <w:t xml:space="preserve">  Richard Rumas to investigate possibility of IPC funding to validate a cleanliness standard.  </w:t>
      </w:r>
      <w:r w:rsidR="00395525">
        <w:t>(</w:t>
      </w:r>
      <w:r>
        <w:t>Due Date: 2</w:t>
      </w:r>
      <w:r w:rsidR="00B07CBD">
        <w:t>-</w:t>
      </w:r>
      <w:r>
        <w:t>Oct</w:t>
      </w:r>
      <w:r w:rsidR="00B07CBD">
        <w:t>-2015</w:t>
      </w:r>
      <w:r w:rsidR="00395525">
        <w:t>)</w:t>
      </w:r>
    </w:p>
    <w:p w14:paraId="3AA0305A" w14:textId="001990FD" w:rsidR="003B469C" w:rsidRPr="00696632" w:rsidRDefault="003B469C" w:rsidP="00435908">
      <w:pPr>
        <w:pStyle w:val="ActionItem"/>
      </w:pPr>
      <w:r>
        <w:t>ACTION ITEM</w:t>
      </w:r>
      <w:r w:rsidRPr="003B469C">
        <w:t>:</w:t>
      </w:r>
      <w:r>
        <w:t xml:space="preserve"> </w:t>
      </w:r>
      <w:r w:rsidR="000F2488">
        <w:t xml:space="preserve">Julia </w:t>
      </w:r>
      <w:r w:rsidR="00D6165E">
        <w:t xml:space="preserve">Markardt </w:t>
      </w:r>
      <w:r w:rsidR="000F2488">
        <w:t>to query the Med</w:t>
      </w:r>
      <w:r w:rsidR="00016D41">
        <w:t>A</w:t>
      </w:r>
      <w:r w:rsidR="000F2488">
        <w:t xml:space="preserve">ccred TG concerning cleanliness testing.  Due </w:t>
      </w:r>
      <w:r w:rsidR="00395525">
        <w:t>(</w:t>
      </w:r>
      <w:r w:rsidR="000F2488">
        <w:t>Date</w:t>
      </w:r>
      <w:r w:rsidR="00D6165E">
        <w:t>:</w:t>
      </w:r>
      <w:r w:rsidR="000F2488">
        <w:t xml:space="preserve"> 31</w:t>
      </w:r>
      <w:r w:rsidR="00B07CBD">
        <w:t>-</w:t>
      </w:r>
      <w:r w:rsidR="000F2488">
        <w:t>Jul</w:t>
      </w:r>
      <w:r w:rsidR="00B07CBD">
        <w:t>-2015</w:t>
      </w:r>
      <w:r w:rsidR="00395525">
        <w:t>)</w:t>
      </w:r>
    </w:p>
    <w:p w14:paraId="5873F293" w14:textId="2C1222BD" w:rsidR="00696632" w:rsidRDefault="00696632" w:rsidP="00696632">
      <w:pPr>
        <w:pStyle w:val="Heading1"/>
      </w:pPr>
      <w:bookmarkStart w:id="235" w:name="_Toc414354324"/>
      <w:bookmarkStart w:id="236" w:name="_Toc414354194"/>
      <w:r w:rsidRPr="00696632">
        <w:t>Repackaging Sub Team Report Out</w:t>
      </w:r>
      <w:bookmarkEnd w:id="235"/>
      <w:bookmarkEnd w:id="236"/>
      <w:r>
        <w:t xml:space="preserve"> – OPEN</w:t>
      </w:r>
    </w:p>
    <w:p w14:paraId="057AF936" w14:textId="14B19EB7" w:rsidR="00696632" w:rsidRDefault="00D6165E" w:rsidP="00696632">
      <w:pPr>
        <w:pStyle w:val="Body"/>
      </w:pPr>
      <w:r>
        <w:t>Jose Lage</w:t>
      </w:r>
      <w:r w:rsidR="008C6689">
        <w:t xml:space="preserve">s gave a presentation on the </w:t>
      </w:r>
      <w:proofErr w:type="spellStart"/>
      <w:r w:rsidR="008C6689">
        <w:t>reballing</w:t>
      </w:r>
      <w:proofErr w:type="spellEnd"/>
      <w:r w:rsidR="008C6689">
        <w:t xml:space="preserve"> process of </w:t>
      </w:r>
      <w:r w:rsidR="009D7195">
        <w:t>ball grid arrays (</w:t>
      </w:r>
      <w:r w:rsidR="008C6689">
        <w:t>BGA</w:t>
      </w:r>
      <w:r w:rsidR="009D7195">
        <w:t>)</w:t>
      </w:r>
      <w:r w:rsidR="000E6303">
        <w:t>.  Summary of reliability and quality was given.</w:t>
      </w:r>
      <w:r w:rsidR="00B9117D">
        <w:t xml:space="preserve">  Follow-on activity to propose new questions for AC7120 section 11.</w:t>
      </w:r>
    </w:p>
    <w:p w14:paraId="325715FE" w14:textId="61969300" w:rsidR="00A67F8A" w:rsidRPr="00696632" w:rsidRDefault="00A67F8A" w:rsidP="00435908">
      <w:pPr>
        <w:pStyle w:val="ActionItem"/>
      </w:pPr>
      <w:r w:rsidRPr="00A67F8A">
        <w:t>ACTION ITEM</w:t>
      </w:r>
      <w:r w:rsidR="005904C0">
        <w:t>: Jose Lage</w:t>
      </w:r>
      <w:r>
        <w:t xml:space="preserve">s (with PRI) to arrange September </w:t>
      </w:r>
      <w:r w:rsidR="009D7195">
        <w:t>WebEx</w:t>
      </w:r>
      <w:r>
        <w:t xml:space="preserve"> to begin work on new questions.  </w:t>
      </w:r>
      <w:r w:rsidR="00395525">
        <w:t>(</w:t>
      </w:r>
      <w:r>
        <w:t>Due Date: 31</w:t>
      </w:r>
      <w:r w:rsidR="00B07CBD">
        <w:t>-</w:t>
      </w:r>
      <w:r>
        <w:t>Jul</w:t>
      </w:r>
      <w:r w:rsidR="00B07CBD">
        <w:t>-2015</w:t>
      </w:r>
      <w:r w:rsidR="00395525">
        <w:t>)</w:t>
      </w:r>
    </w:p>
    <w:p w14:paraId="4807094A" w14:textId="46A07725" w:rsidR="00696632" w:rsidRDefault="00696632" w:rsidP="00696632">
      <w:pPr>
        <w:pStyle w:val="Heading1"/>
      </w:pPr>
      <w:bookmarkStart w:id="237" w:name="_Toc414354328"/>
      <w:bookmarkStart w:id="238" w:name="_Toc414354198"/>
      <w:r w:rsidRPr="00696632">
        <w:t xml:space="preserve">Future Working Session Topics </w:t>
      </w:r>
      <w:r>
        <w:t>–</w:t>
      </w:r>
      <w:r w:rsidRPr="00696632">
        <w:t xml:space="preserve"> discussion</w:t>
      </w:r>
      <w:bookmarkEnd w:id="237"/>
      <w:bookmarkEnd w:id="238"/>
      <w:r>
        <w:t xml:space="preserve"> – OPEN</w:t>
      </w:r>
    </w:p>
    <w:p w14:paraId="2A2C2F0E" w14:textId="63A756E5" w:rsidR="00696632" w:rsidRPr="00696632" w:rsidRDefault="003E5D8D" w:rsidP="00696632">
      <w:pPr>
        <w:pStyle w:val="Body"/>
      </w:pPr>
      <w:r>
        <w:t>Suggested topics are: AC7120 slash sheets, AC7119 slash sheets, AC7121 handbook and next revision, MSA.</w:t>
      </w:r>
    </w:p>
    <w:p w14:paraId="28EA5B8A" w14:textId="7F47AD79" w:rsidR="00696632" w:rsidRDefault="00696632" w:rsidP="00696632">
      <w:pPr>
        <w:pStyle w:val="Heading1"/>
      </w:pPr>
      <w:bookmarkStart w:id="239" w:name="_Toc414354330"/>
      <w:bookmarkStart w:id="240" w:name="_Toc414354200"/>
      <w:r w:rsidRPr="00696632">
        <w:t>New Business</w:t>
      </w:r>
      <w:bookmarkEnd w:id="239"/>
      <w:bookmarkEnd w:id="240"/>
      <w:r>
        <w:t xml:space="preserve"> – OPEN</w:t>
      </w:r>
    </w:p>
    <w:p w14:paraId="23B0BC09" w14:textId="650498A6" w:rsidR="00D3654F" w:rsidRDefault="00D3654F" w:rsidP="00D3654F">
      <w:pPr>
        <w:pStyle w:val="Body"/>
      </w:pPr>
      <w:r>
        <w:t>Richard Rumas presented Scott Meyer with an award for participation in 20 ETG meetings.</w:t>
      </w:r>
    </w:p>
    <w:p w14:paraId="26E414A9" w14:textId="6E18D535" w:rsidR="002676B7" w:rsidRDefault="002676B7" w:rsidP="00D3654F">
      <w:pPr>
        <w:pStyle w:val="Body"/>
      </w:pPr>
      <w:r>
        <w:lastRenderedPageBreak/>
        <w:t xml:space="preserve">Gilbert Shelby gave status on the AC7119F Handbook with comment resolution.  One comment to be addressed by adding a pointer in the </w:t>
      </w:r>
      <w:r w:rsidR="004A74F7">
        <w:t>handbooks to the supplier advisory folder.</w:t>
      </w:r>
    </w:p>
    <w:p w14:paraId="24513D47" w14:textId="513DE234" w:rsidR="00FA61DE" w:rsidRDefault="00FA61DE" w:rsidP="00435908">
      <w:pPr>
        <w:pStyle w:val="ActionItem"/>
      </w:pPr>
      <w:r w:rsidRPr="00FA61DE">
        <w:t>ACTION ITEM</w:t>
      </w:r>
      <w:r>
        <w:t xml:space="preserve">: Julia Markardt to send </w:t>
      </w:r>
      <w:r w:rsidR="00A67110">
        <w:t>M</w:t>
      </w:r>
      <w:r>
        <w:t>ed</w:t>
      </w:r>
      <w:r w:rsidR="00A67110">
        <w:t>A</w:t>
      </w:r>
      <w:r>
        <w:t xml:space="preserve">ccred handbooks to Richard Rumas and Scott Meyer.  </w:t>
      </w:r>
      <w:r w:rsidR="00395525">
        <w:t>(</w:t>
      </w:r>
      <w:r>
        <w:t>Due Date: 19</w:t>
      </w:r>
      <w:r w:rsidR="00B07CBD">
        <w:t>-</w:t>
      </w:r>
      <w:r>
        <w:t>Oct</w:t>
      </w:r>
      <w:r w:rsidR="00B07CBD">
        <w:t>-2015</w:t>
      </w:r>
      <w:r w:rsidR="00395525">
        <w:t>)</w:t>
      </w:r>
    </w:p>
    <w:p w14:paraId="7D41CD4D" w14:textId="1A1D55D9" w:rsidR="00D155CA" w:rsidRDefault="00D155CA" w:rsidP="00435908">
      <w:pPr>
        <w:pStyle w:val="ActionItem"/>
      </w:pPr>
      <w:r>
        <w:t>ACTION ITEM</w:t>
      </w:r>
      <w:r w:rsidRPr="00D155CA">
        <w:t>:</w:t>
      </w:r>
      <w:r>
        <w:t xml:space="preserve"> Gilbert </w:t>
      </w:r>
      <w:r w:rsidR="00A67110">
        <w:t xml:space="preserve">Shelby </w:t>
      </w:r>
      <w:r>
        <w:t xml:space="preserve">to add comment resolutions to AC7119F Handbook and send to PRI. </w:t>
      </w:r>
      <w:r w:rsidR="00395525">
        <w:t>(</w:t>
      </w:r>
      <w:r>
        <w:t xml:space="preserve">Due Date: </w:t>
      </w:r>
      <w:r w:rsidR="00B07CBD">
        <w:t>25-Jun-2015</w:t>
      </w:r>
      <w:r w:rsidR="00395525">
        <w:t>)</w:t>
      </w:r>
    </w:p>
    <w:p w14:paraId="4293F76D" w14:textId="37F6B6C2" w:rsidR="00AF135E" w:rsidRDefault="005865E3" w:rsidP="00D3654F">
      <w:pPr>
        <w:pStyle w:val="Body"/>
      </w:pPr>
      <w:r>
        <w:t>Ha</w:t>
      </w:r>
      <w:r w:rsidR="00AF135E" w:rsidRPr="00AF135E">
        <w:t>l</w:t>
      </w:r>
      <w:r w:rsidR="00AF135E">
        <w:t xml:space="preserve"> </w:t>
      </w:r>
      <w:r w:rsidR="002F5D35">
        <w:t>Abel</w:t>
      </w:r>
      <w:r w:rsidR="00AF135E">
        <w:t xml:space="preserve"> presented </w:t>
      </w:r>
      <w:r w:rsidR="002F5D35">
        <w:t xml:space="preserve">a </w:t>
      </w:r>
      <w:r w:rsidR="00AF135E">
        <w:t>summary of the Henkel re-branding effort</w:t>
      </w:r>
      <w:r w:rsidR="000F0DFC">
        <w:t>.  This will</w:t>
      </w:r>
      <w:r w:rsidR="00AF135E">
        <w:t xml:space="preserve"> affect</w:t>
      </w:r>
      <w:r w:rsidR="00BC52E0">
        <w:t xml:space="preserve"> Henkel-provided conformal coating material</w:t>
      </w:r>
      <w:r w:rsidR="00AF135E">
        <w:t xml:space="preserve">, </w:t>
      </w:r>
      <w:proofErr w:type="spellStart"/>
      <w:r w:rsidR="00D931BD">
        <w:t>underfills</w:t>
      </w:r>
      <w:proofErr w:type="spellEnd"/>
      <w:r w:rsidR="00D931BD">
        <w:t xml:space="preserve">, </w:t>
      </w:r>
      <w:r w:rsidR="00BC52E0">
        <w:t xml:space="preserve">and </w:t>
      </w:r>
      <w:r w:rsidR="002F5D35">
        <w:t>SMT</w:t>
      </w:r>
      <w:r w:rsidR="00BC52E0">
        <w:t xml:space="preserve"> adhesives. </w:t>
      </w:r>
    </w:p>
    <w:p w14:paraId="433109C6" w14:textId="47BDD96B" w:rsidR="00530DD8" w:rsidRDefault="00530DD8" w:rsidP="00435908">
      <w:pPr>
        <w:pStyle w:val="ActionItem"/>
      </w:pPr>
      <w:r w:rsidRPr="005865E3">
        <w:t>ACTION ITEM</w:t>
      </w:r>
      <w:r>
        <w:t xml:space="preserve">: Task Group members to review Henkel presentation </w:t>
      </w:r>
      <w:r w:rsidR="005865E3">
        <w:t xml:space="preserve">(CP October 2014 folder) concerning re-branding for effect on products.  </w:t>
      </w:r>
      <w:r w:rsidR="00395525">
        <w:t>(</w:t>
      </w:r>
      <w:r w:rsidR="005865E3">
        <w:t>Due Date</w:t>
      </w:r>
      <w:r w:rsidR="00B07CBD">
        <w:t>:</w:t>
      </w:r>
      <w:r w:rsidR="005865E3">
        <w:t xml:space="preserve"> 19</w:t>
      </w:r>
      <w:r w:rsidR="00B07CBD">
        <w:t>-</w:t>
      </w:r>
      <w:r w:rsidR="005865E3">
        <w:t>Oct</w:t>
      </w:r>
      <w:r w:rsidR="00B07CBD">
        <w:t>-2015</w:t>
      </w:r>
      <w:r w:rsidR="00395525">
        <w:t>)</w:t>
      </w:r>
    </w:p>
    <w:p w14:paraId="25BD6D74" w14:textId="607B3CC5" w:rsidR="003E5D8D" w:rsidRDefault="00D931BD" w:rsidP="00D3654F">
      <w:pPr>
        <w:pStyle w:val="Body"/>
      </w:pPr>
      <w:r>
        <w:t xml:space="preserve">Agenda was set for the </w:t>
      </w:r>
      <w:r w:rsidR="002F5D35">
        <w:t xml:space="preserve">October 2015 </w:t>
      </w:r>
      <w:r w:rsidR="003E5D8D" w:rsidRPr="003E5D8D">
        <w:t>auditor conference.</w:t>
      </w:r>
      <w:r w:rsidR="003E5D8D">
        <w:t xml:space="preserve"> </w:t>
      </w:r>
    </w:p>
    <w:p w14:paraId="54B03C00" w14:textId="232E8A84" w:rsidR="00D931BD" w:rsidRDefault="00D931BD" w:rsidP="00435908">
      <w:pPr>
        <w:pStyle w:val="ActionItem"/>
      </w:pPr>
      <w:r w:rsidRPr="00D931BD">
        <w:t>ACTION ITEM</w:t>
      </w:r>
      <w:r>
        <w:t xml:space="preserve">: Scott Meyer to work with PRI to establish </w:t>
      </w:r>
      <w:r w:rsidR="0029069D">
        <w:t>WebEx</w:t>
      </w:r>
      <w:r>
        <w:t xml:space="preserve"> to review auditor conference presentations.  </w:t>
      </w:r>
      <w:r w:rsidR="00395525">
        <w:t>(</w:t>
      </w:r>
      <w:r>
        <w:t>Due Date: 7</w:t>
      </w:r>
      <w:r w:rsidR="00B07CBD">
        <w:t>-</w:t>
      </w:r>
      <w:r>
        <w:t>Aug</w:t>
      </w:r>
      <w:r w:rsidR="00B07CBD">
        <w:t>-2015</w:t>
      </w:r>
      <w:r w:rsidR="00395525">
        <w:t>)</w:t>
      </w:r>
    </w:p>
    <w:p w14:paraId="38036065" w14:textId="3A3F0F22" w:rsidR="00D931BD" w:rsidRDefault="00D931BD" w:rsidP="00435908">
      <w:pPr>
        <w:pStyle w:val="ActionItem"/>
      </w:pPr>
      <w:r>
        <w:t>ACTION ITEM</w:t>
      </w:r>
      <w:r w:rsidRPr="00D931BD">
        <w:t>:</w:t>
      </w:r>
      <w:r>
        <w:t xml:space="preserve">  Richard Rumas to email all TG Subscribing members to attend the auditor conference.  </w:t>
      </w:r>
      <w:r w:rsidR="00395525">
        <w:t>(</w:t>
      </w:r>
      <w:r>
        <w:t>Due Date: 31</w:t>
      </w:r>
      <w:r w:rsidR="00B07CBD">
        <w:t>-</w:t>
      </w:r>
      <w:r>
        <w:t>Jul</w:t>
      </w:r>
      <w:r w:rsidR="00B07CBD">
        <w:t>-2015</w:t>
      </w:r>
      <w:r w:rsidR="00395525">
        <w:t>)</w:t>
      </w:r>
    </w:p>
    <w:p w14:paraId="0F6A41FD" w14:textId="1AEAE08B" w:rsidR="00576E81" w:rsidRDefault="00D931BD" w:rsidP="00D3654F">
      <w:pPr>
        <w:pStyle w:val="Body"/>
      </w:pPr>
      <w:r>
        <w:t>Doug Schueller presented the completed supplier welcome package from the working session</w:t>
      </w:r>
      <w:r w:rsidR="00057CF3">
        <w:t>.  Feedback was incorporated.</w:t>
      </w:r>
      <w:r w:rsidR="00710994">
        <w:t xml:space="preserve">  </w:t>
      </w:r>
      <w:r w:rsidR="002F5D35">
        <w:t xml:space="preserve">The </w:t>
      </w:r>
      <w:r w:rsidR="00710994">
        <w:t xml:space="preserve">Task Group </w:t>
      </w:r>
      <w:r w:rsidR="002F5D35">
        <w:t xml:space="preserve">is </w:t>
      </w:r>
      <w:r w:rsidR="00710994">
        <w:t xml:space="preserve">to determine method(s) to get the presentation to </w:t>
      </w:r>
      <w:r w:rsidR="002F5D35">
        <w:t>prospective</w:t>
      </w:r>
      <w:r w:rsidR="00710994">
        <w:t xml:space="preserve"> suppliers. </w:t>
      </w:r>
    </w:p>
    <w:p w14:paraId="725751A8" w14:textId="13B66A83" w:rsidR="00710994" w:rsidRPr="00841F25" w:rsidRDefault="00576E81" w:rsidP="00435908">
      <w:pPr>
        <w:pStyle w:val="ActionItem"/>
      </w:pPr>
      <w:r w:rsidRPr="00576E81">
        <w:t>ACTION ITEM</w:t>
      </w:r>
      <w:r>
        <w:t>:  Julia Markardt to query if suppliers are required to submit self-audits into eAudit</w:t>
      </w:r>
      <w:r w:rsidR="0029069D">
        <w:t>N</w:t>
      </w:r>
      <w:r>
        <w:t xml:space="preserve">et.  </w:t>
      </w:r>
      <w:r w:rsidR="00395525">
        <w:t>(</w:t>
      </w:r>
      <w:r>
        <w:t>Due Date: 18</w:t>
      </w:r>
      <w:r w:rsidR="00B07CBD">
        <w:t>-</w:t>
      </w:r>
      <w:r>
        <w:t>Oct</w:t>
      </w:r>
      <w:r w:rsidR="00B07CBD">
        <w:t>-2015</w:t>
      </w:r>
      <w:r w:rsidR="00395525">
        <w:t>)</w:t>
      </w:r>
    </w:p>
    <w:p w14:paraId="68B397CA" w14:textId="00ADA46B" w:rsidR="00305671" w:rsidRDefault="00305671" w:rsidP="00435908">
      <w:pPr>
        <w:pStyle w:val="ActionItem"/>
      </w:pPr>
      <w:r>
        <w:t>ACTION ITEM</w:t>
      </w:r>
      <w:r w:rsidRPr="00305671">
        <w:t>:</w:t>
      </w:r>
      <w:r>
        <w:t xml:space="preserve">  PRI </w:t>
      </w:r>
      <w:r w:rsidR="002667A5">
        <w:t xml:space="preserve">Staff </w:t>
      </w:r>
      <w:r>
        <w:t xml:space="preserve">to </w:t>
      </w:r>
      <w:r w:rsidR="00710994">
        <w:t xml:space="preserve">work with Jon Steffey on how to get the welcome package presentation to initial electronics suppliers automatically.  </w:t>
      </w:r>
      <w:r w:rsidR="00395525">
        <w:t>(</w:t>
      </w:r>
      <w:r w:rsidR="00710994">
        <w:t>Due Date: 31</w:t>
      </w:r>
      <w:r w:rsidR="00B07CBD">
        <w:t>-</w:t>
      </w:r>
      <w:r w:rsidR="00710994">
        <w:t>Jul</w:t>
      </w:r>
      <w:r w:rsidR="00B07CBD">
        <w:t>-</w:t>
      </w:r>
      <w:r w:rsidR="00710994">
        <w:t>2015</w:t>
      </w:r>
      <w:r w:rsidR="00395525">
        <w:t>)</w:t>
      </w:r>
    </w:p>
    <w:p w14:paraId="4898712E" w14:textId="4EF336F8" w:rsidR="00710994" w:rsidRDefault="00710994" w:rsidP="00435908">
      <w:pPr>
        <w:pStyle w:val="ActionItem"/>
      </w:pPr>
      <w:r>
        <w:t>ACTION ITEM</w:t>
      </w:r>
      <w:r w:rsidRPr="00710994">
        <w:t>:</w:t>
      </w:r>
      <w:r>
        <w:t xml:space="preserve"> PRI </w:t>
      </w:r>
      <w:r w:rsidR="002667A5">
        <w:t xml:space="preserve">Staff </w:t>
      </w:r>
      <w:r>
        <w:t>to place new supplier welcome pre</w:t>
      </w:r>
      <w:r w:rsidR="0029069D">
        <w:t>sentation in Audit Information F</w:t>
      </w:r>
      <w:r>
        <w:t>older on eAudit</w:t>
      </w:r>
      <w:r w:rsidR="0029069D">
        <w:t>N</w:t>
      </w:r>
      <w:r>
        <w:t>et, the SSC accreditation – ETG tab on the PRI website (</w:t>
      </w:r>
      <w:hyperlink r:id="rId13" w:history="1">
        <w:r w:rsidR="00C529D2" w:rsidRPr="00435908">
          <w:t>http://p-r-i.org/nadcap/accreditation/</w:t>
        </w:r>
      </w:hyperlink>
      <w:r w:rsidR="00C529D2">
        <w:t>)</w:t>
      </w:r>
      <w:r>
        <w:t xml:space="preserve">. </w:t>
      </w:r>
      <w:r w:rsidR="00395525">
        <w:t>(</w:t>
      </w:r>
      <w:r>
        <w:t>Due Date: 31</w:t>
      </w:r>
      <w:r w:rsidR="00B07CBD">
        <w:t>-</w:t>
      </w:r>
      <w:r>
        <w:t>Ju</w:t>
      </w:r>
      <w:r w:rsidR="00B07CBD">
        <w:t>l-</w:t>
      </w:r>
      <w:r>
        <w:t>2015</w:t>
      </w:r>
      <w:r w:rsidR="00395525">
        <w:t>)</w:t>
      </w:r>
    </w:p>
    <w:p w14:paraId="19A2BBEF" w14:textId="53A35F76" w:rsidR="00C529D2" w:rsidRPr="00435908" w:rsidRDefault="00C529D2" w:rsidP="00435908">
      <w:pPr>
        <w:pStyle w:val="ActionItem"/>
      </w:pPr>
      <w:r>
        <w:t>ACTION ITEM</w:t>
      </w:r>
      <w:r w:rsidRPr="00C529D2">
        <w:t xml:space="preserve">:  PRI </w:t>
      </w:r>
      <w:r w:rsidR="002667A5">
        <w:t xml:space="preserve">Staff </w:t>
      </w:r>
      <w:r w:rsidRPr="00C529D2">
        <w:t>to email new supplier welcome presentation</w:t>
      </w:r>
      <w:r>
        <w:t xml:space="preserve"> to all ETG suppliers waiting for initial audits.  </w:t>
      </w:r>
      <w:r w:rsidR="00395525">
        <w:t>(</w:t>
      </w:r>
      <w:r>
        <w:t>Due Date</w:t>
      </w:r>
      <w:r w:rsidR="00395525">
        <w:t>:</w:t>
      </w:r>
      <w:r>
        <w:t xml:space="preserve"> 31</w:t>
      </w:r>
      <w:r w:rsidR="00B07CBD">
        <w:t>-</w:t>
      </w:r>
      <w:r>
        <w:t>Jul</w:t>
      </w:r>
      <w:r w:rsidR="00B07CBD">
        <w:t>-2015</w:t>
      </w:r>
      <w:r w:rsidR="00395525">
        <w:t>)</w:t>
      </w:r>
    </w:p>
    <w:p w14:paraId="72EFCEC3" w14:textId="6EA22214" w:rsidR="00A95F67" w:rsidRDefault="00A95F67" w:rsidP="00C529D2">
      <w:pPr>
        <w:ind w:left="720"/>
      </w:pPr>
      <w:r w:rsidRPr="00A95F67">
        <w:t xml:space="preserve">Scott Meyer presented a comparison of AC7120C ESD requirements </w:t>
      </w:r>
      <w:r w:rsidR="00AD4239">
        <w:t>to</w:t>
      </w:r>
      <w:r w:rsidRPr="00A95F67">
        <w:t xml:space="preserve"> the ESDA </w:t>
      </w:r>
      <w:r w:rsidR="00AD4239">
        <w:t>S</w:t>
      </w:r>
      <w:r w:rsidRPr="00A95F67">
        <w:t>20.2</w:t>
      </w:r>
      <w:r>
        <w:t>0 certification requirements.</w:t>
      </w:r>
    </w:p>
    <w:p w14:paraId="4F1AD0DB" w14:textId="287E7D6B" w:rsidR="00A95F67" w:rsidRPr="00A95F67" w:rsidRDefault="00A95F67" w:rsidP="00435908">
      <w:pPr>
        <w:pStyle w:val="ActionItem"/>
      </w:pPr>
      <w:r w:rsidRPr="00A95F67">
        <w:t>ACTION ITEM</w:t>
      </w:r>
      <w:r>
        <w:t>:  Scott Meyer and Richard Rumas to compare ESD</w:t>
      </w:r>
      <w:r w:rsidR="00AD4239">
        <w:t>A</w:t>
      </w:r>
      <w:r>
        <w:t xml:space="preserve"> </w:t>
      </w:r>
      <w:r w:rsidR="00AD4239">
        <w:t>S</w:t>
      </w:r>
      <w:r>
        <w:t xml:space="preserve">20.20 certifications vs accredited AC7120 suppliers and </w:t>
      </w:r>
      <w:r w:rsidR="00AD4239">
        <w:t xml:space="preserve">to </w:t>
      </w:r>
      <w:r>
        <w:t xml:space="preserve">review for any findings against ESD.  </w:t>
      </w:r>
      <w:r w:rsidR="00395525">
        <w:t>(</w:t>
      </w:r>
      <w:r>
        <w:t>Due Date: 19</w:t>
      </w:r>
      <w:r w:rsidR="00B07CBD">
        <w:t>-O</w:t>
      </w:r>
      <w:r>
        <w:t>ct</w:t>
      </w:r>
      <w:r w:rsidR="00B07CBD">
        <w:t>-2015</w:t>
      </w:r>
      <w:r w:rsidR="00395525">
        <w:t>)</w:t>
      </w:r>
    </w:p>
    <w:p w14:paraId="0F4E5700" w14:textId="3E91D785" w:rsidR="00696632" w:rsidRDefault="00696632" w:rsidP="00696632">
      <w:pPr>
        <w:pStyle w:val="Heading1"/>
      </w:pPr>
      <w:bookmarkStart w:id="241" w:name="_Toc414354332"/>
      <w:bookmarkStart w:id="242" w:name="_Toc414354202"/>
      <w:bookmarkStart w:id="243" w:name="_Toc403569674"/>
      <w:bookmarkStart w:id="244" w:name="_Toc403393680"/>
      <w:bookmarkStart w:id="245" w:name="_Toc402872129"/>
      <w:bookmarkStart w:id="246" w:name="_Toc402870507"/>
      <w:r w:rsidRPr="00696632">
        <w:t>Meeting Closure Items</w:t>
      </w:r>
      <w:bookmarkEnd w:id="241"/>
      <w:bookmarkEnd w:id="242"/>
      <w:bookmarkEnd w:id="243"/>
      <w:bookmarkEnd w:id="244"/>
      <w:bookmarkEnd w:id="245"/>
      <w:bookmarkEnd w:id="246"/>
      <w:r>
        <w:t xml:space="preserve"> – OPEN</w:t>
      </w:r>
    </w:p>
    <w:p w14:paraId="0848FA0D" w14:textId="77777777" w:rsidR="00696632" w:rsidRDefault="00696632" w:rsidP="00696632">
      <w:pPr>
        <w:pStyle w:val="Heading2"/>
      </w:pPr>
      <w:bookmarkStart w:id="247" w:name="_Toc414354333"/>
      <w:bookmarkStart w:id="248" w:name="_Toc414354203"/>
      <w:bookmarkStart w:id="249" w:name="_Toc403569675"/>
      <w:bookmarkStart w:id="250" w:name="_Toc403393681"/>
      <w:bookmarkStart w:id="251" w:name="_Toc402872130"/>
      <w:bookmarkStart w:id="252" w:name="_Toc402870508"/>
      <w:r w:rsidRPr="00D31FB5">
        <w:t>R</w:t>
      </w:r>
      <w:r w:rsidRPr="00696632">
        <w:t>eview Priority List</w:t>
      </w:r>
      <w:bookmarkEnd w:id="247"/>
      <w:bookmarkEnd w:id="248"/>
      <w:bookmarkEnd w:id="249"/>
      <w:bookmarkEnd w:id="250"/>
      <w:bookmarkEnd w:id="251"/>
      <w:bookmarkEnd w:id="252"/>
    </w:p>
    <w:p w14:paraId="34DD5FF8" w14:textId="2BB769CA" w:rsidR="00A95F67" w:rsidRPr="00A95F67" w:rsidRDefault="00A95F67" w:rsidP="00A95F67">
      <w:pPr>
        <w:pStyle w:val="Body"/>
      </w:pPr>
      <w:r>
        <w:t>List reviewed and updated as required. Repackaging and Jet Printing added.</w:t>
      </w:r>
    </w:p>
    <w:p w14:paraId="3E32E217" w14:textId="77777777" w:rsidR="00696632" w:rsidRDefault="00696632" w:rsidP="00696632">
      <w:pPr>
        <w:pStyle w:val="Heading2"/>
      </w:pPr>
      <w:bookmarkStart w:id="253" w:name="_Toc414354334"/>
      <w:bookmarkStart w:id="254" w:name="_Toc414354204"/>
      <w:bookmarkStart w:id="255" w:name="_Toc403569676"/>
      <w:bookmarkStart w:id="256" w:name="_Toc403393682"/>
      <w:bookmarkStart w:id="257" w:name="_Toc402872131"/>
      <w:bookmarkStart w:id="258" w:name="_Toc402870509"/>
      <w:r w:rsidRPr="00696632">
        <w:t>Review Membership</w:t>
      </w:r>
      <w:bookmarkEnd w:id="253"/>
      <w:bookmarkEnd w:id="254"/>
      <w:bookmarkEnd w:id="255"/>
      <w:bookmarkEnd w:id="256"/>
      <w:bookmarkEnd w:id="257"/>
      <w:bookmarkEnd w:id="258"/>
    </w:p>
    <w:p w14:paraId="40F6398C" w14:textId="4590BFB8" w:rsidR="00CC6482" w:rsidRPr="00CC6482" w:rsidRDefault="00CC6482" w:rsidP="00CC6482">
      <w:pPr>
        <w:pStyle w:val="Body"/>
      </w:pPr>
      <w:r>
        <w:t>Membership reviewed</w:t>
      </w:r>
      <w:r w:rsidR="00BF1670">
        <w:t xml:space="preserve"> and no changes made</w:t>
      </w:r>
      <w:r>
        <w:t>.  Those members in jeopardy of losing voting rights will be emailed</w:t>
      </w:r>
      <w:r w:rsidR="00841F25">
        <w:t xml:space="preserve"> by PRI</w:t>
      </w:r>
      <w:r>
        <w:t>.</w:t>
      </w:r>
    </w:p>
    <w:p w14:paraId="142B3A15" w14:textId="29BC4D7C" w:rsidR="00696632" w:rsidRDefault="00696632" w:rsidP="00696632">
      <w:pPr>
        <w:pStyle w:val="Heading2"/>
      </w:pPr>
      <w:bookmarkStart w:id="259" w:name="_Toc414354335"/>
      <w:bookmarkStart w:id="260" w:name="_Toc414354205"/>
      <w:r w:rsidRPr="00696632">
        <w:t>Review Sub team list</w:t>
      </w:r>
      <w:bookmarkEnd w:id="259"/>
      <w:bookmarkEnd w:id="260"/>
    </w:p>
    <w:p w14:paraId="0A99B7BC" w14:textId="19E2B4B7" w:rsidR="00BF1670" w:rsidRDefault="00BF1670" w:rsidP="00BF1670">
      <w:pPr>
        <w:pStyle w:val="Body"/>
      </w:pPr>
      <w:r>
        <w:t>Sub team list reviewed and updated as required.  Auditor interview test sub team added.</w:t>
      </w:r>
    </w:p>
    <w:p w14:paraId="60F0A4D6" w14:textId="2A2DEBF2" w:rsidR="002C1D68" w:rsidRDefault="002C1D68" w:rsidP="002C1D68">
      <w:pPr>
        <w:pStyle w:val="ActionItem"/>
      </w:pPr>
      <w:r w:rsidRPr="00C566B7">
        <w:lastRenderedPageBreak/>
        <w:t>ACTION ITEM</w:t>
      </w:r>
      <w:r>
        <w:t xml:space="preserve">: Roger Bloomfield to draft email explaining how the auditor question table is constructed.  </w:t>
      </w:r>
      <w:r w:rsidR="00395525">
        <w:t>(</w:t>
      </w:r>
      <w:r>
        <w:t>Due Date: 3-Jul-2015</w:t>
      </w:r>
      <w:r w:rsidR="00395525">
        <w:t>)</w:t>
      </w:r>
    </w:p>
    <w:p w14:paraId="0AF0A25A" w14:textId="1AE822D2" w:rsidR="002C1D68" w:rsidRPr="008B4D13" w:rsidRDefault="002C1D68" w:rsidP="002C1D68">
      <w:pPr>
        <w:pStyle w:val="ActionItem"/>
      </w:pPr>
      <w:r w:rsidRPr="00414111">
        <w:t>ACTION ITEM</w:t>
      </w:r>
      <w:r>
        <w:t xml:space="preserve">:  PRI </w:t>
      </w:r>
      <w:r w:rsidR="002667A5">
        <w:t xml:space="preserve">Staff </w:t>
      </w:r>
      <w:r>
        <w:t xml:space="preserve">to send the auditor question table to Task Group for review.  </w:t>
      </w:r>
      <w:r w:rsidR="00395525">
        <w:t>(</w:t>
      </w:r>
      <w:r>
        <w:t>Due Date: 7-Aug-2015</w:t>
      </w:r>
      <w:r w:rsidR="00395525">
        <w:t>)</w:t>
      </w:r>
    </w:p>
    <w:p w14:paraId="2FD67AFD" w14:textId="77777777" w:rsidR="00696632" w:rsidRDefault="00696632" w:rsidP="00696632">
      <w:pPr>
        <w:pStyle w:val="Heading2"/>
      </w:pPr>
      <w:bookmarkStart w:id="261" w:name="_Toc414354336"/>
      <w:bookmarkStart w:id="262" w:name="_Toc414354206"/>
      <w:bookmarkStart w:id="263" w:name="_Toc403569677"/>
      <w:bookmarkStart w:id="264" w:name="_Toc403393683"/>
      <w:bookmarkStart w:id="265" w:name="_Toc402872132"/>
      <w:bookmarkStart w:id="266" w:name="_Toc402870510"/>
      <w:r w:rsidRPr="00696632">
        <w:t>RAIL Review</w:t>
      </w:r>
      <w:bookmarkEnd w:id="261"/>
      <w:bookmarkEnd w:id="262"/>
      <w:bookmarkEnd w:id="263"/>
      <w:bookmarkEnd w:id="264"/>
      <w:bookmarkEnd w:id="265"/>
      <w:bookmarkEnd w:id="266"/>
    </w:p>
    <w:p w14:paraId="1AA98634" w14:textId="1CA76240" w:rsidR="008B4D13" w:rsidRDefault="008B4D13" w:rsidP="008B4D13">
      <w:pPr>
        <w:pStyle w:val="Body"/>
      </w:pPr>
      <w:r>
        <w:t>RAIL reviewed and updated to reflect actions closed during the meeting.</w:t>
      </w:r>
    </w:p>
    <w:p w14:paraId="59B6C2A1" w14:textId="34B0C942" w:rsidR="00696632" w:rsidRDefault="00696632" w:rsidP="00696632">
      <w:pPr>
        <w:pStyle w:val="Heading2"/>
      </w:pPr>
      <w:bookmarkStart w:id="267" w:name="_Toc414354337"/>
      <w:bookmarkStart w:id="268" w:name="_Toc414354207"/>
      <w:bookmarkStart w:id="269" w:name="_Toc403569678"/>
      <w:bookmarkStart w:id="270" w:name="_Toc403393684"/>
      <w:bookmarkStart w:id="271" w:name="_Toc402872133"/>
      <w:bookmarkStart w:id="272" w:name="_Toc402870511"/>
      <w:r w:rsidRPr="00696632">
        <w:t>Set Agenda for Next Meeting</w:t>
      </w:r>
      <w:bookmarkEnd w:id="267"/>
      <w:bookmarkEnd w:id="268"/>
      <w:bookmarkEnd w:id="269"/>
      <w:bookmarkEnd w:id="270"/>
      <w:bookmarkEnd w:id="271"/>
      <w:bookmarkEnd w:id="272"/>
    </w:p>
    <w:p w14:paraId="4C9FEF2E" w14:textId="109B997C" w:rsidR="00424D93" w:rsidRPr="00424D93" w:rsidRDefault="00424D93" w:rsidP="00424D93">
      <w:pPr>
        <w:pStyle w:val="Body"/>
      </w:pPr>
      <w:r>
        <w:t>Draft agenda prepared</w:t>
      </w:r>
      <w:r w:rsidR="00841F25">
        <w:t xml:space="preserve"> by </w:t>
      </w:r>
      <w:r w:rsidR="00AD4239">
        <w:t xml:space="preserve">the </w:t>
      </w:r>
      <w:r w:rsidR="00841F25">
        <w:t>Task Group</w:t>
      </w:r>
      <w:r>
        <w:t>.</w:t>
      </w:r>
    </w:p>
    <w:p w14:paraId="267D89DC" w14:textId="6986F379" w:rsidR="00FA0B5E" w:rsidRDefault="00FA0B5E" w:rsidP="00272E48">
      <w:r>
        <w:t xml:space="preserve">ADJOURNMENT – </w:t>
      </w:r>
      <w:r w:rsidR="00696632">
        <w:t>25-JUN-2015</w:t>
      </w:r>
      <w:r>
        <w:t xml:space="preserve"> – Meeting was adjourned at </w:t>
      </w:r>
      <w:r w:rsidR="00841F25">
        <w:t>5:15</w:t>
      </w:r>
      <w:r>
        <w:t xml:space="preserve"> p.m.</w:t>
      </w:r>
    </w:p>
    <w:p w14:paraId="267D89DD" w14:textId="0702B5FF" w:rsidR="00FA0B5E" w:rsidRDefault="00FA0B5E" w:rsidP="00272E48">
      <w:pPr>
        <w:pStyle w:val="Body"/>
      </w:pPr>
      <w:r>
        <w:t xml:space="preserve">Minutes Prepared by: </w:t>
      </w:r>
      <w:r w:rsidR="00D31FB5">
        <w:t xml:space="preserve">Scott Meyer </w:t>
      </w:r>
      <w:hyperlink r:id="rId14" w:history="1">
        <w:r w:rsidR="00B72D82">
          <w:rPr>
            <w:rStyle w:val="Hyperlink"/>
            <w:rFonts w:cs="Arial"/>
            <w:sz w:val="18"/>
            <w:szCs w:val="18"/>
            <w:shd w:val="clear" w:color="auto" w:fill="EFEFEF"/>
          </w:rPr>
          <w:t>scott.meyer@goodrich.com</w:t>
        </w:r>
      </w:hyperlink>
    </w:p>
    <w:p w14:paraId="02DA3A35" w14:textId="77777777" w:rsidR="0029069D" w:rsidRDefault="00FA0B5E" w:rsidP="0029069D">
      <w:pPr>
        <w:spacing w:after="0"/>
      </w:pPr>
      <w:r>
        <w:t xml:space="preserve">RAIL: </w:t>
      </w:r>
      <w:r w:rsidR="0029069D">
        <w:t xml:space="preserve"> </w:t>
      </w:r>
      <w:r w:rsidR="006F60FD" w:rsidRPr="007F7E08">
        <w:t xml:space="preserve">For specific details, please see the current </w:t>
      </w:r>
      <w:r w:rsidR="006F60FD">
        <w:t>ETG</w:t>
      </w:r>
      <w:r w:rsidR="006F60FD" w:rsidRPr="007F7E08">
        <w:t xml:space="preserve"> Rol</w:t>
      </w:r>
      <w:r w:rsidR="0029069D">
        <w:t xml:space="preserve">ling Action Item List posted at                                                                                                                                                       </w:t>
      </w:r>
    </w:p>
    <w:p w14:paraId="06AF0B54" w14:textId="21D3B97D" w:rsidR="006F60FD" w:rsidRPr="00A97D30" w:rsidRDefault="0029069D" w:rsidP="0029069D">
      <w:r>
        <w:t xml:space="preserve">           </w:t>
      </w:r>
      <w:hyperlink r:id="rId15" w:history="1">
        <w:r w:rsidR="006F60FD" w:rsidRPr="00D109C4">
          <w:rPr>
            <w:rStyle w:val="Hyperlink"/>
          </w:rPr>
          <w:t>www.eAuditNet.com</w:t>
        </w:r>
      </w:hyperlink>
      <w:r w:rsidR="006F60FD" w:rsidRPr="007F7E08">
        <w:t>, under Public Documents.</w:t>
      </w:r>
    </w:p>
    <w:p w14:paraId="267D89DF" w14:textId="77777777" w:rsidR="00FA0B5E" w:rsidRDefault="00FA0B5E" w:rsidP="00FA0B5E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2E48" w:rsidRPr="00272E48" w14:paraId="267D89E8" w14:textId="77777777" w:rsidTr="00B07504">
        <w:tc>
          <w:tcPr>
            <w:tcW w:w="9576" w:type="dxa"/>
            <w:gridSpan w:val="3"/>
            <w:shd w:val="clear" w:color="auto" w:fill="F2F2F2" w:themeFill="background1" w:themeFillShade="F2"/>
          </w:tcPr>
          <w:p w14:paraId="267D89E0" w14:textId="77777777" w:rsidR="00272E48" w:rsidRDefault="00272E48" w:rsidP="004E7B29"/>
          <w:p w14:paraId="267D89E1" w14:textId="77777777"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14:paraId="267D89E2" w14:textId="77777777" w:rsidR="00272E48" w:rsidRDefault="00272E48" w:rsidP="004E7B29"/>
          <w:p w14:paraId="267D89E3" w14:textId="77777777" w:rsidR="00272E48" w:rsidRDefault="00272E48" w:rsidP="004E7B29">
            <w:r w:rsidRPr="00272E48">
              <w:t>Are procedural/form changes required based on changes/actions approved during this meeting? (select one)</w:t>
            </w:r>
          </w:p>
          <w:p w14:paraId="267D89E4" w14:textId="77777777" w:rsidR="00272E48" w:rsidRDefault="00272E48" w:rsidP="004E7B29"/>
          <w:p w14:paraId="267D89E5" w14:textId="05A550A2" w:rsidR="00272E48" w:rsidRDefault="00272E48" w:rsidP="00866C8D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7D89E6" w14:textId="77777777" w:rsidR="00272E48" w:rsidRDefault="00272E48" w:rsidP="004E7B29"/>
          <w:p w14:paraId="267D89E7" w14:textId="77777777" w:rsidR="00272E48" w:rsidRPr="00272E48" w:rsidRDefault="00272E48" w:rsidP="004E7B29">
            <w:r w:rsidRPr="00272E48">
              <w:t>*If yes, the following information is required:</w:t>
            </w:r>
          </w:p>
        </w:tc>
      </w:tr>
      <w:tr w:rsidR="00272E48" w:rsidRPr="00272E48" w14:paraId="267D89EC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9" w14:textId="77777777" w:rsidR="00272E48" w:rsidRPr="00272E48" w:rsidRDefault="00272E48" w:rsidP="004E7B29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A" w14:textId="77777777" w:rsidR="00272E48" w:rsidRPr="00272E48" w:rsidRDefault="00272E48" w:rsidP="004E7B29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B" w14:textId="77777777" w:rsidR="00272E48" w:rsidRPr="00272E48" w:rsidRDefault="00272E48" w:rsidP="004E7B29">
            <w:r w:rsidRPr="00272E48">
              <w:t>Due date:</w:t>
            </w:r>
          </w:p>
        </w:tc>
      </w:tr>
      <w:tr w:rsidR="00272E48" w:rsidRPr="00272E48" w14:paraId="267D89F0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D" w14:textId="20631FF9" w:rsidR="00272E48" w:rsidRPr="00272E48" w:rsidRDefault="002C1D68" w:rsidP="004E7B29">
            <w:r>
              <w:t>OP 1114  Appendix ETG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E" w14:textId="15CE5A31" w:rsidR="00272E48" w:rsidRPr="00272E48" w:rsidRDefault="002C1D68" w:rsidP="004E7B29">
            <w:r>
              <w:t>PRI Staff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F" w14:textId="2866CF43" w:rsidR="00272E48" w:rsidRPr="00272E48" w:rsidRDefault="002C1D68" w:rsidP="004E7B29">
            <w:r>
              <w:t>31-Jul-2015</w:t>
            </w:r>
          </w:p>
        </w:tc>
      </w:tr>
      <w:tr w:rsidR="00272E48" w:rsidRPr="00272E48" w14:paraId="267D89F4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F1" w14:textId="6EF97C5F" w:rsidR="00272E48" w:rsidRPr="00272E48" w:rsidRDefault="002667A5" w:rsidP="004E7B29">
            <w:r>
              <w:t>AC 7120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F2" w14:textId="74253BD3" w:rsidR="00272E48" w:rsidRPr="00272E48" w:rsidRDefault="002667A5" w:rsidP="004E7B29">
            <w:r>
              <w:t>PRI Staff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F3" w14:textId="5374FC78" w:rsidR="00272E48" w:rsidRPr="00272E48" w:rsidRDefault="002667A5" w:rsidP="004E7B29">
            <w:r>
              <w:t>31-Jul-2015</w:t>
            </w:r>
          </w:p>
        </w:tc>
      </w:tr>
      <w:tr w:rsidR="002667A5" w:rsidRPr="00272E48" w14:paraId="4A7D3F91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0DE0DE2A" w14:textId="41FC865A" w:rsidR="002667A5" w:rsidRDefault="002667A5" w:rsidP="004E7B29">
            <w:r>
              <w:t>AC 7120/1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6B7B1B3" w14:textId="0FBAFB06" w:rsidR="002667A5" w:rsidRDefault="002667A5" w:rsidP="004E7B29">
            <w:r>
              <w:t>PRI Staff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028DB98" w14:textId="133CBDDE" w:rsidR="002667A5" w:rsidRDefault="002667A5" w:rsidP="004E7B29">
            <w:r>
              <w:t>31-Jul-2015</w:t>
            </w:r>
          </w:p>
        </w:tc>
      </w:tr>
    </w:tbl>
    <w:p w14:paraId="267D89F5" w14:textId="77777777" w:rsidR="00FA0B5E" w:rsidRDefault="00FA0B5E" w:rsidP="00FA0B5E"/>
    <w:p w14:paraId="267D89FD" w14:textId="7937548D" w:rsidR="00E61ABB" w:rsidRDefault="00331BA7" w:rsidP="00E51455">
      <w:pPr>
        <w:pStyle w:val="Body"/>
      </w:pPr>
    </w:p>
    <w:sectPr w:rsidR="00E61ABB" w:rsidSect="00866C8D">
      <w:headerReference w:type="even" r:id="rId16"/>
      <w:headerReference w:type="default" r:id="rId17"/>
      <w:head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0F042" w14:textId="77777777" w:rsidR="009A30CD" w:rsidRDefault="009A30CD" w:rsidP="00FC3F1E">
      <w:pPr>
        <w:spacing w:after="0"/>
      </w:pPr>
      <w:r>
        <w:separator/>
      </w:r>
    </w:p>
  </w:endnote>
  <w:endnote w:type="continuationSeparator" w:id="0">
    <w:p w14:paraId="68D4A85F" w14:textId="77777777" w:rsidR="009A30CD" w:rsidRDefault="009A30CD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34F5" w14:textId="77777777" w:rsidR="009A30CD" w:rsidRDefault="009A30CD" w:rsidP="00FC3F1E">
      <w:pPr>
        <w:spacing w:after="0"/>
      </w:pPr>
      <w:r>
        <w:separator/>
      </w:r>
    </w:p>
  </w:footnote>
  <w:footnote w:type="continuationSeparator" w:id="0">
    <w:p w14:paraId="458E555D" w14:textId="77777777" w:rsidR="009A30CD" w:rsidRDefault="009A30CD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8A02" w14:textId="77777777" w:rsidR="00284747" w:rsidRDefault="00331BA7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3227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8A03" w14:textId="74591C11"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BA7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3228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121E92">
      <w:t>ELECTRONICS</w:t>
    </w:r>
  </w:p>
  <w:p w14:paraId="267D8A04" w14:textId="1996A247" w:rsidR="00FC3F1E" w:rsidRDefault="00121E92">
    <w:pPr>
      <w:pStyle w:val="Header"/>
    </w:pPr>
    <w:r>
      <w:t>JUNE 2015</w:t>
    </w:r>
  </w:p>
  <w:p w14:paraId="267D8A05" w14:textId="7E36EFEB" w:rsidR="00FC3F1E" w:rsidRDefault="00BE288D">
    <w:pPr>
      <w:pStyle w:val="Header"/>
    </w:pPr>
    <w:r>
      <w:t>CONFIRMED</w:t>
    </w:r>
  </w:p>
  <w:p w14:paraId="267D8A06" w14:textId="77777777"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8A07" w14:textId="77777777" w:rsidR="00284747" w:rsidRDefault="00331BA7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3226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E8D"/>
    <w:multiLevelType w:val="multilevel"/>
    <w:tmpl w:val="43C2F884"/>
    <w:lvl w:ilvl="0">
      <w:start w:val="1"/>
      <w:numFmt w:val="decimal"/>
      <w:pStyle w:val="Topic"/>
      <w:lvlText w:val="%1.0"/>
      <w:lvlJc w:val="left"/>
      <w:pPr>
        <w:ind w:left="360" w:hanging="360"/>
      </w:pPr>
    </w:lvl>
    <w:lvl w:ilvl="1">
      <w:start w:val="1"/>
      <w:numFmt w:val="bullet"/>
      <w:pStyle w:val="Topicdetai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ub-Topic"/>
      <w:lvlText w:val="%1.%2%3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Sub-TopicDetai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5F7711"/>
    <w:multiLevelType w:val="multilevel"/>
    <w:tmpl w:val="C254C2D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2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E"/>
    <w:rsid w:val="00011EA4"/>
    <w:rsid w:val="00016D41"/>
    <w:rsid w:val="00057CF3"/>
    <w:rsid w:val="00071650"/>
    <w:rsid w:val="000A4141"/>
    <w:rsid w:val="000C2322"/>
    <w:rsid w:val="000D75DA"/>
    <w:rsid w:val="000E3574"/>
    <w:rsid w:val="000E6303"/>
    <w:rsid w:val="000F0DFC"/>
    <w:rsid w:val="000F2488"/>
    <w:rsid w:val="001148E2"/>
    <w:rsid w:val="00121E92"/>
    <w:rsid w:val="0012238B"/>
    <w:rsid w:val="001550D1"/>
    <w:rsid w:val="00171EC9"/>
    <w:rsid w:val="001802C2"/>
    <w:rsid w:val="00191C7A"/>
    <w:rsid w:val="001923D7"/>
    <w:rsid w:val="001A1215"/>
    <w:rsid w:val="001B377E"/>
    <w:rsid w:val="001C6960"/>
    <w:rsid w:val="001F3052"/>
    <w:rsid w:val="001F4941"/>
    <w:rsid w:val="00206CCF"/>
    <w:rsid w:val="002266B7"/>
    <w:rsid w:val="00231248"/>
    <w:rsid w:val="002348A5"/>
    <w:rsid w:val="002372E2"/>
    <w:rsid w:val="00250DCB"/>
    <w:rsid w:val="002529C7"/>
    <w:rsid w:val="002667A5"/>
    <w:rsid w:val="002676B7"/>
    <w:rsid w:val="00272E48"/>
    <w:rsid w:val="0027493A"/>
    <w:rsid w:val="00284747"/>
    <w:rsid w:val="00287311"/>
    <w:rsid w:val="0029069D"/>
    <w:rsid w:val="002C06D2"/>
    <w:rsid w:val="002C1D68"/>
    <w:rsid w:val="002D52DB"/>
    <w:rsid w:val="002F5D35"/>
    <w:rsid w:val="00305671"/>
    <w:rsid w:val="00321CC6"/>
    <w:rsid w:val="00331BA7"/>
    <w:rsid w:val="00377E09"/>
    <w:rsid w:val="00394013"/>
    <w:rsid w:val="00395525"/>
    <w:rsid w:val="003A1D6F"/>
    <w:rsid w:val="003A663D"/>
    <w:rsid w:val="003B469C"/>
    <w:rsid w:val="003B5FCD"/>
    <w:rsid w:val="003B7F20"/>
    <w:rsid w:val="003D0FC6"/>
    <w:rsid w:val="003E5D8D"/>
    <w:rsid w:val="003F1350"/>
    <w:rsid w:val="003F711A"/>
    <w:rsid w:val="00413F65"/>
    <w:rsid w:val="00414111"/>
    <w:rsid w:val="00424D93"/>
    <w:rsid w:val="00435908"/>
    <w:rsid w:val="00452263"/>
    <w:rsid w:val="00457C3B"/>
    <w:rsid w:val="00494691"/>
    <w:rsid w:val="004A0807"/>
    <w:rsid w:val="004A66D2"/>
    <w:rsid w:val="004A74F7"/>
    <w:rsid w:val="004C0F18"/>
    <w:rsid w:val="004D2E91"/>
    <w:rsid w:val="004D675F"/>
    <w:rsid w:val="00506EE2"/>
    <w:rsid w:val="00516CBC"/>
    <w:rsid w:val="00530DD8"/>
    <w:rsid w:val="00555F68"/>
    <w:rsid w:val="00566CA6"/>
    <w:rsid w:val="00570D6F"/>
    <w:rsid w:val="00576E81"/>
    <w:rsid w:val="00581AE0"/>
    <w:rsid w:val="0058340F"/>
    <w:rsid w:val="005865E3"/>
    <w:rsid w:val="005904C0"/>
    <w:rsid w:val="005A6E29"/>
    <w:rsid w:val="005C79B1"/>
    <w:rsid w:val="005D130A"/>
    <w:rsid w:val="005D7A90"/>
    <w:rsid w:val="00605123"/>
    <w:rsid w:val="00622082"/>
    <w:rsid w:val="00670172"/>
    <w:rsid w:val="00680FE5"/>
    <w:rsid w:val="00687DED"/>
    <w:rsid w:val="00693DCF"/>
    <w:rsid w:val="00696632"/>
    <w:rsid w:val="006E0EF2"/>
    <w:rsid w:val="006E3563"/>
    <w:rsid w:val="006F30F9"/>
    <w:rsid w:val="006F60FD"/>
    <w:rsid w:val="007055E1"/>
    <w:rsid w:val="00710994"/>
    <w:rsid w:val="00714DAC"/>
    <w:rsid w:val="0072739C"/>
    <w:rsid w:val="00734ED6"/>
    <w:rsid w:val="00740BBF"/>
    <w:rsid w:val="00764DE1"/>
    <w:rsid w:val="007767D2"/>
    <w:rsid w:val="0079610D"/>
    <w:rsid w:val="007A5163"/>
    <w:rsid w:val="007C5E6F"/>
    <w:rsid w:val="007C6997"/>
    <w:rsid w:val="007D4F4A"/>
    <w:rsid w:val="007D7046"/>
    <w:rsid w:val="007F7E08"/>
    <w:rsid w:val="00813902"/>
    <w:rsid w:val="008145CC"/>
    <w:rsid w:val="0083733F"/>
    <w:rsid w:val="00841F25"/>
    <w:rsid w:val="008465AC"/>
    <w:rsid w:val="00866C8D"/>
    <w:rsid w:val="008770B4"/>
    <w:rsid w:val="008863F5"/>
    <w:rsid w:val="008B4D13"/>
    <w:rsid w:val="008C6689"/>
    <w:rsid w:val="008E18A8"/>
    <w:rsid w:val="008E1E35"/>
    <w:rsid w:val="00906224"/>
    <w:rsid w:val="00933E00"/>
    <w:rsid w:val="00955BD5"/>
    <w:rsid w:val="009560F6"/>
    <w:rsid w:val="0097359E"/>
    <w:rsid w:val="009968E7"/>
    <w:rsid w:val="009A1B26"/>
    <w:rsid w:val="009A30CD"/>
    <w:rsid w:val="009D28CD"/>
    <w:rsid w:val="009D7195"/>
    <w:rsid w:val="00A01EEA"/>
    <w:rsid w:val="00A02904"/>
    <w:rsid w:val="00A03E5F"/>
    <w:rsid w:val="00A10685"/>
    <w:rsid w:val="00A11469"/>
    <w:rsid w:val="00A11BEE"/>
    <w:rsid w:val="00A34228"/>
    <w:rsid w:val="00A43173"/>
    <w:rsid w:val="00A67110"/>
    <w:rsid w:val="00A67F8A"/>
    <w:rsid w:val="00A73B69"/>
    <w:rsid w:val="00A75366"/>
    <w:rsid w:val="00A77E94"/>
    <w:rsid w:val="00A84FBC"/>
    <w:rsid w:val="00A95F67"/>
    <w:rsid w:val="00A97D30"/>
    <w:rsid w:val="00AB1ABF"/>
    <w:rsid w:val="00AB29BD"/>
    <w:rsid w:val="00AB746C"/>
    <w:rsid w:val="00AC43F7"/>
    <w:rsid w:val="00AD2DF0"/>
    <w:rsid w:val="00AD4239"/>
    <w:rsid w:val="00AF0B06"/>
    <w:rsid w:val="00AF135E"/>
    <w:rsid w:val="00AF4277"/>
    <w:rsid w:val="00B07CBD"/>
    <w:rsid w:val="00B177C7"/>
    <w:rsid w:val="00B310F7"/>
    <w:rsid w:val="00B40532"/>
    <w:rsid w:val="00B40E7A"/>
    <w:rsid w:val="00B53DB8"/>
    <w:rsid w:val="00B70844"/>
    <w:rsid w:val="00B72D82"/>
    <w:rsid w:val="00B74246"/>
    <w:rsid w:val="00B9117D"/>
    <w:rsid w:val="00BC52E0"/>
    <w:rsid w:val="00BE288D"/>
    <w:rsid w:val="00BF1670"/>
    <w:rsid w:val="00C10ADD"/>
    <w:rsid w:val="00C127B3"/>
    <w:rsid w:val="00C4480B"/>
    <w:rsid w:val="00C529D2"/>
    <w:rsid w:val="00C566B7"/>
    <w:rsid w:val="00C576C6"/>
    <w:rsid w:val="00C62EB1"/>
    <w:rsid w:val="00C678E5"/>
    <w:rsid w:val="00C7478F"/>
    <w:rsid w:val="00C927F1"/>
    <w:rsid w:val="00CA5848"/>
    <w:rsid w:val="00CB1822"/>
    <w:rsid w:val="00CB420C"/>
    <w:rsid w:val="00CC4718"/>
    <w:rsid w:val="00CC6482"/>
    <w:rsid w:val="00CE28A7"/>
    <w:rsid w:val="00CF6A99"/>
    <w:rsid w:val="00D14169"/>
    <w:rsid w:val="00D155CA"/>
    <w:rsid w:val="00D21199"/>
    <w:rsid w:val="00D31FB5"/>
    <w:rsid w:val="00D3654F"/>
    <w:rsid w:val="00D4689C"/>
    <w:rsid w:val="00D52A13"/>
    <w:rsid w:val="00D61503"/>
    <w:rsid w:val="00D6165E"/>
    <w:rsid w:val="00D62FAB"/>
    <w:rsid w:val="00D66FA7"/>
    <w:rsid w:val="00D82C7B"/>
    <w:rsid w:val="00D931BD"/>
    <w:rsid w:val="00D959B6"/>
    <w:rsid w:val="00DA5C67"/>
    <w:rsid w:val="00DC67B6"/>
    <w:rsid w:val="00DD4ACA"/>
    <w:rsid w:val="00DE7D40"/>
    <w:rsid w:val="00DF00D7"/>
    <w:rsid w:val="00E16222"/>
    <w:rsid w:val="00E32487"/>
    <w:rsid w:val="00E32CD4"/>
    <w:rsid w:val="00E51455"/>
    <w:rsid w:val="00E7058C"/>
    <w:rsid w:val="00E87FA9"/>
    <w:rsid w:val="00EB2503"/>
    <w:rsid w:val="00EB7AEF"/>
    <w:rsid w:val="00F240F7"/>
    <w:rsid w:val="00F44C9E"/>
    <w:rsid w:val="00F62AE3"/>
    <w:rsid w:val="00F76453"/>
    <w:rsid w:val="00FA0B5E"/>
    <w:rsid w:val="00FA61DE"/>
    <w:rsid w:val="00FC3F1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7D8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B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character" w:customStyle="1" w:styleId="Sub-TopicChar">
    <w:name w:val="Sub-Topic Char"/>
    <w:basedOn w:val="DefaultParagraphFont"/>
    <w:link w:val="Sub-Topic"/>
    <w:locked/>
    <w:rsid w:val="000A4141"/>
    <w:rPr>
      <w:rFonts w:ascii="Arial" w:hAnsi="Arial" w:cs="Arial"/>
      <w:sz w:val="16"/>
      <w:szCs w:val="16"/>
    </w:rPr>
  </w:style>
  <w:style w:type="paragraph" w:customStyle="1" w:styleId="Sub-Topic">
    <w:name w:val="Sub-Topic"/>
    <w:basedOn w:val="Normal"/>
    <w:link w:val="Sub-TopicChar"/>
    <w:qFormat/>
    <w:rsid w:val="000A4141"/>
    <w:pPr>
      <w:numPr>
        <w:ilvl w:val="2"/>
        <w:numId w:val="3"/>
      </w:numPr>
      <w:spacing w:before="60" w:after="0"/>
    </w:pPr>
    <w:rPr>
      <w:rFonts w:cs="Arial"/>
      <w:sz w:val="16"/>
      <w:szCs w:val="16"/>
    </w:rPr>
  </w:style>
  <w:style w:type="paragraph" w:customStyle="1" w:styleId="Topic">
    <w:name w:val="Topic"/>
    <w:basedOn w:val="Normal"/>
    <w:qFormat/>
    <w:rsid w:val="000A4141"/>
    <w:pPr>
      <w:numPr>
        <w:numId w:val="3"/>
      </w:numPr>
      <w:spacing w:before="60" w:after="0"/>
    </w:pPr>
    <w:rPr>
      <w:rFonts w:eastAsia="Times New Roman" w:cs="Times New Roman"/>
      <w:b/>
      <w:sz w:val="16"/>
      <w:szCs w:val="16"/>
    </w:rPr>
  </w:style>
  <w:style w:type="paragraph" w:customStyle="1" w:styleId="Topicdetail">
    <w:name w:val="Topic detail"/>
    <w:basedOn w:val="Topic"/>
    <w:qFormat/>
    <w:rsid w:val="000A4141"/>
    <w:pPr>
      <w:numPr>
        <w:ilvl w:val="1"/>
      </w:numPr>
    </w:pPr>
    <w:rPr>
      <w:b w:val="0"/>
    </w:rPr>
  </w:style>
  <w:style w:type="paragraph" w:customStyle="1" w:styleId="Sub-TopicDetail">
    <w:name w:val="Sub-Topic Detail"/>
    <w:basedOn w:val="Sub-Topic"/>
    <w:qFormat/>
    <w:rsid w:val="000A4141"/>
    <w:pPr>
      <w:numPr>
        <w:ilvl w:val="3"/>
      </w:numPr>
      <w:tabs>
        <w:tab w:val="num" w:pos="360"/>
        <w:tab w:val="num" w:pos="1080"/>
      </w:tabs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F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F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B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character" w:customStyle="1" w:styleId="Sub-TopicChar">
    <w:name w:val="Sub-Topic Char"/>
    <w:basedOn w:val="DefaultParagraphFont"/>
    <w:link w:val="Sub-Topic"/>
    <w:locked/>
    <w:rsid w:val="000A4141"/>
    <w:rPr>
      <w:rFonts w:ascii="Arial" w:hAnsi="Arial" w:cs="Arial"/>
      <w:sz w:val="16"/>
      <w:szCs w:val="16"/>
    </w:rPr>
  </w:style>
  <w:style w:type="paragraph" w:customStyle="1" w:styleId="Sub-Topic">
    <w:name w:val="Sub-Topic"/>
    <w:basedOn w:val="Normal"/>
    <w:link w:val="Sub-TopicChar"/>
    <w:qFormat/>
    <w:rsid w:val="000A4141"/>
    <w:pPr>
      <w:numPr>
        <w:ilvl w:val="2"/>
        <w:numId w:val="3"/>
      </w:numPr>
      <w:spacing w:before="60" w:after="0"/>
    </w:pPr>
    <w:rPr>
      <w:rFonts w:cs="Arial"/>
      <w:sz w:val="16"/>
      <w:szCs w:val="16"/>
    </w:rPr>
  </w:style>
  <w:style w:type="paragraph" w:customStyle="1" w:styleId="Topic">
    <w:name w:val="Topic"/>
    <w:basedOn w:val="Normal"/>
    <w:qFormat/>
    <w:rsid w:val="000A4141"/>
    <w:pPr>
      <w:numPr>
        <w:numId w:val="3"/>
      </w:numPr>
      <w:spacing w:before="60" w:after="0"/>
    </w:pPr>
    <w:rPr>
      <w:rFonts w:eastAsia="Times New Roman" w:cs="Times New Roman"/>
      <w:b/>
      <w:sz w:val="16"/>
      <w:szCs w:val="16"/>
    </w:rPr>
  </w:style>
  <w:style w:type="paragraph" w:customStyle="1" w:styleId="Topicdetail">
    <w:name w:val="Topic detail"/>
    <w:basedOn w:val="Topic"/>
    <w:qFormat/>
    <w:rsid w:val="000A4141"/>
    <w:pPr>
      <w:numPr>
        <w:ilvl w:val="1"/>
      </w:numPr>
    </w:pPr>
    <w:rPr>
      <w:b w:val="0"/>
    </w:rPr>
  </w:style>
  <w:style w:type="paragraph" w:customStyle="1" w:styleId="Sub-TopicDetail">
    <w:name w:val="Sub-Topic Detail"/>
    <w:basedOn w:val="Sub-Topic"/>
    <w:qFormat/>
    <w:rsid w:val="000A4141"/>
    <w:pPr>
      <w:numPr>
        <w:ilvl w:val="3"/>
      </w:numPr>
      <w:tabs>
        <w:tab w:val="num" w:pos="360"/>
        <w:tab w:val="num" w:pos="1080"/>
      </w:tabs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F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F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-r-i.org/nadcap/accreditatio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AuditNet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AuditNet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ott.meyer@goodri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4CB44-C53A-450D-B0EE-522C491A001A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C0C689-5737-4CF1-B1A9-4AD945E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keywords>Non Technical</cp:keywords>
  <cp:lastModifiedBy>Carol Martin</cp:lastModifiedBy>
  <cp:revision>3</cp:revision>
  <cp:lastPrinted>2015-07-06T20:39:00Z</cp:lastPrinted>
  <dcterms:created xsi:type="dcterms:W3CDTF">2015-10-05T19:52:00Z</dcterms:created>
  <dcterms:modified xsi:type="dcterms:W3CDTF">2015-10-30T15:41:00Z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bed7c8b9-7c4f-4265-9355-54f9d23b145b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