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FC3F1E" w:rsidRDefault="00FA0B5E" w:rsidP="00FC3F1E">
      <w:pPr>
        <w:spacing w:after="0"/>
        <w:jc w:val="center"/>
        <w:rPr>
          <w:b/>
        </w:rPr>
      </w:pPr>
      <w:r w:rsidRPr="00FC3F1E">
        <w:rPr>
          <w:b/>
        </w:rPr>
        <w:t>CONFIRMED MINUTES</w:t>
      </w:r>
    </w:p>
    <w:p w:rsidR="00FA0B5E" w:rsidRPr="00FC3F1E" w:rsidRDefault="00853959" w:rsidP="00FC3F1E">
      <w:pPr>
        <w:spacing w:after="0"/>
        <w:jc w:val="center"/>
        <w:rPr>
          <w:b/>
        </w:rPr>
      </w:pPr>
      <w:r>
        <w:rPr>
          <w:b/>
        </w:rPr>
        <w:t>FEBRUARY</w:t>
      </w:r>
      <w:r w:rsidR="009610A4">
        <w:rPr>
          <w:b/>
        </w:rPr>
        <w:t xml:space="preserve"> </w:t>
      </w:r>
      <w:r w:rsidRPr="00853959">
        <w:rPr>
          <w:b/>
        </w:rPr>
        <w:t>22-25, 2016</w:t>
      </w:r>
    </w:p>
    <w:p w:rsidR="00FA0B5E" w:rsidRDefault="00853959" w:rsidP="007F7E08">
      <w:pPr>
        <w:jc w:val="center"/>
        <w:rPr>
          <w:b/>
        </w:rPr>
      </w:pPr>
      <w:r w:rsidRPr="00853959">
        <w:rPr>
          <w:b/>
        </w:rPr>
        <w:t>MADRID, SPAIN</w:t>
      </w:r>
    </w:p>
    <w:p w:rsidR="009610A4" w:rsidRPr="009610A4" w:rsidRDefault="009610A4" w:rsidP="009610A4">
      <w:pPr>
        <w:rPr>
          <w:b/>
        </w:rPr>
      </w:pPr>
      <w:r w:rsidRPr="009610A4">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9610A4" w:rsidRPr="009610A4" w:rsidRDefault="009610A4" w:rsidP="009610A4">
      <w:pPr>
        <w:rPr>
          <w:b/>
          <w:u w:val="single"/>
        </w:rPr>
      </w:pPr>
      <w:r w:rsidRPr="009610A4">
        <w:rPr>
          <w:b/>
          <w:u w:val="single"/>
        </w:rPr>
        <w:t xml:space="preserve">MONDAY, </w:t>
      </w:r>
      <w:r w:rsidR="00853959">
        <w:rPr>
          <w:b/>
          <w:u w:val="single"/>
        </w:rPr>
        <w:t>FEBRUARY</w:t>
      </w:r>
      <w:r w:rsidR="00C05769">
        <w:rPr>
          <w:b/>
          <w:u w:val="single"/>
        </w:rPr>
        <w:t xml:space="preserve"> </w:t>
      </w:r>
      <w:r w:rsidR="00853959">
        <w:rPr>
          <w:b/>
          <w:u w:val="single"/>
        </w:rPr>
        <w:t>22</w:t>
      </w:r>
      <w:r w:rsidR="006157B3">
        <w:rPr>
          <w:b/>
          <w:u w:val="single"/>
        </w:rPr>
        <w:t xml:space="preserve"> </w:t>
      </w:r>
      <w:r w:rsidR="006157B3" w:rsidRPr="009610A4">
        <w:rPr>
          <w:b/>
          <w:u w:val="single"/>
        </w:rPr>
        <w:t>to</w:t>
      </w:r>
      <w:r w:rsidRPr="009610A4">
        <w:rPr>
          <w:b/>
          <w:u w:val="single"/>
        </w:rPr>
        <w:t xml:space="preserve"> THURSDAY, </w:t>
      </w:r>
      <w:r w:rsidR="00853959">
        <w:rPr>
          <w:b/>
          <w:u w:val="single"/>
        </w:rPr>
        <w:t>FEBRUARY</w:t>
      </w:r>
      <w:r w:rsidR="00C05769">
        <w:rPr>
          <w:b/>
          <w:u w:val="single"/>
        </w:rPr>
        <w:t xml:space="preserve"> 2</w:t>
      </w:r>
      <w:r w:rsidR="00853959">
        <w:rPr>
          <w:b/>
          <w:u w:val="single"/>
        </w:rPr>
        <w:t>5</w:t>
      </w:r>
      <w:r w:rsidRPr="009610A4">
        <w:rPr>
          <w:b/>
          <w:u w:val="single"/>
        </w:rPr>
        <w:t xml:space="preserve"> </w:t>
      </w:r>
    </w:p>
    <w:p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OPENING COMMENTS</w:t>
      </w:r>
    </w:p>
    <w:p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Call to Order / Quorum Check</w:t>
      </w:r>
    </w:p>
    <w:p w:rsidR="009610A4" w:rsidRPr="009610A4" w:rsidRDefault="009610A4" w:rsidP="009610A4">
      <w:pPr>
        <w:ind w:left="709"/>
      </w:pPr>
      <w:r w:rsidRPr="009610A4">
        <w:t xml:space="preserve">The Chemical Processing Task Group (CPTG) was called to order at </w:t>
      </w:r>
      <w:r w:rsidR="00853959">
        <w:t>9</w:t>
      </w:r>
      <w:r w:rsidRPr="009610A4">
        <w:t xml:space="preserve">:00 a.m., </w:t>
      </w:r>
      <w:r w:rsidR="00516F72">
        <w:t>2</w:t>
      </w:r>
      <w:r w:rsidRPr="009610A4">
        <w:t>2-</w:t>
      </w:r>
      <w:r w:rsidR="00853959">
        <w:t>Feb</w:t>
      </w:r>
      <w:r w:rsidRPr="009610A4">
        <w:t>-201</w:t>
      </w:r>
      <w:r w:rsidR="00853959">
        <w:t>6</w:t>
      </w:r>
      <w:r w:rsidRPr="009610A4">
        <w:t>.</w:t>
      </w:r>
    </w:p>
    <w:p w:rsidR="009610A4" w:rsidRPr="009610A4" w:rsidRDefault="009610A4" w:rsidP="009610A4">
      <w:pPr>
        <w:ind w:left="709"/>
      </w:pPr>
      <w:r w:rsidRPr="009610A4">
        <w:t>It was verified that only SUBSCRIBER MEMBERS were in attendance during the closed portion of the meeting.</w:t>
      </w:r>
    </w:p>
    <w:p w:rsidR="009610A4" w:rsidRPr="009610A4" w:rsidRDefault="009610A4" w:rsidP="009610A4">
      <w:pPr>
        <w:ind w:left="709"/>
      </w:pPr>
      <w:r w:rsidRPr="009610A4">
        <w:t>A quorum was established with the following representatives in attendance:</w:t>
      </w:r>
    </w:p>
    <w:p w:rsidR="009610A4" w:rsidRPr="009610A4" w:rsidRDefault="009610A4" w:rsidP="009610A4">
      <w:pPr>
        <w:keepNext/>
        <w:ind w:left="709"/>
        <w:rPr>
          <w:b/>
          <w:i/>
          <w:u w:val="single"/>
        </w:rPr>
      </w:pPr>
      <w:r w:rsidRPr="009610A4">
        <w:rPr>
          <w:b/>
          <w:i/>
          <w:u w:val="single"/>
        </w:rPr>
        <w:t>Subscriber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78"/>
        <w:gridCol w:w="1555"/>
        <w:gridCol w:w="1980"/>
        <w:gridCol w:w="3960"/>
        <w:gridCol w:w="1775"/>
      </w:tblGrid>
      <w:tr w:rsidR="004F3163" w:rsidRPr="009610A4" w:rsidTr="00C86C9F">
        <w:tc>
          <w:tcPr>
            <w:tcW w:w="378" w:type="dxa"/>
          </w:tcPr>
          <w:p w:rsidR="004F3163" w:rsidRPr="009610A4" w:rsidRDefault="004F3163" w:rsidP="006B7B26">
            <w:pPr>
              <w:contextualSpacing/>
            </w:pPr>
          </w:p>
        </w:tc>
        <w:tc>
          <w:tcPr>
            <w:tcW w:w="1555" w:type="dxa"/>
          </w:tcPr>
          <w:p w:rsidR="004F3163" w:rsidRPr="009610A4" w:rsidRDefault="004F3163" w:rsidP="006B7B26">
            <w:pPr>
              <w:contextualSpacing/>
            </w:pPr>
            <w:r w:rsidRPr="009610A4" w:rsidDel="00E3448D">
              <w:t>NAME</w:t>
            </w:r>
          </w:p>
        </w:tc>
        <w:tc>
          <w:tcPr>
            <w:tcW w:w="1980" w:type="dxa"/>
          </w:tcPr>
          <w:p w:rsidR="004F3163" w:rsidRPr="009610A4" w:rsidRDefault="004F3163" w:rsidP="006B7B26">
            <w:pPr>
              <w:contextualSpacing/>
            </w:pPr>
          </w:p>
        </w:tc>
        <w:tc>
          <w:tcPr>
            <w:tcW w:w="3960" w:type="dxa"/>
          </w:tcPr>
          <w:p w:rsidR="004F3163" w:rsidRPr="009610A4" w:rsidRDefault="004F3163" w:rsidP="006B7B26">
            <w:pPr>
              <w:contextualSpacing/>
            </w:pPr>
            <w:r w:rsidRPr="009610A4" w:rsidDel="00E3448D">
              <w:t>COMPANY NAME</w:t>
            </w:r>
          </w:p>
        </w:tc>
        <w:tc>
          <w:tcPr>
            <w:tcW w:w="1775" w:type="dxa"/>
          </w:tcPr>
          <w:p w:rsidR="004F3163" w:rsidRPr="009610A4" w:rsidRDefault="004F3163" w:rsidP="006B7B26">
            <w:pPr>
              <w:contextualSpacing/>
            </w:pPr>
          </w:p>
        </w:tc>
      </w:tr>
      <w:tr w:rsidR="004F3163" w:rsidRPr="009610A4" w:rsidTr="00627C25">
        <w:tc>
          <w:tcPr>
            <w:tcW w:w="378" w:type="dxa"/>
          </w:tcPr>
          <w:p w:rsidR="004F3163" w:rsidRDefault="004F3163" w:rsidP="006B7B26">
            <w:pPr>
              <w:contextualSpacing/>
            </w:pPr>
          </w:p>
        </w:tc>
        <w:tc>
          <w:tcPr>
            <w:tcW w:w="1555" w:type="dxa"/>
          </w:tcPr>
          <w:p w:rsidR="004F3163" w:rsidRDefault="004F3163" w:rsidP="006B7B26">
            <w:pPr>
              <w:contextualSpacing/>
            </w:pPr>
          </w:p>
        </w:tc>
        <w:tc>
          <w:tcPr>
            <w:tcW w:w="1980" w:type="dxa"/>
          </w:tcPr>
          <w:p w:rsidR="004F3163" w:rsidRDefault="004F3163" w:rsidP="006B7B26">
            <w:pPr>
              <w:contextualSpacing/>
            </w:pPr>
          </w:p>
        </w:tc>
        <w:tc>
          <w:tcPr>
            <w:tcW w:w="3960" w:type="dxa"/>
          </w:tcPr>
          <w:p w:rsidR="004F3163" w:rsidRDefault="004F3163" w:rsidP="006B7B26">
            <w:pPr>
              <w:contextualSpacing/>
            </w:pPr>
          </w:p>
        </w:tc>
        <w:tc>
          <w:tcPr>
            <w:tcW w:w="1775" w:type="dxa"/>
          </w:tcPr>
          <w:p w:rsidR="004F3163" w:rsidRDefault="004F3163" w:rsidP="006B7B26">
            <w:pPr>
              <w:contextualSpacing/>
            </w:pPr>
          </w:p>
        </w:tc>
      </w:tr>
      <w:tr w:rsidR="004F3163" w:rsidRPr="009610A4" w:rsidTr="00C86C9F">
        <w:tc>
          <w:tcPr>
            <w:tcW w:w="378" w:type="dxa"/>
          </w:tcPr>
          <w:p w:rsidR="004F3163" w:rsidRDefault="004F3163" w:rsidP="002A69FD">
            <w:pPr>
              <w:contextualSpacing/>
            </w:pPr>
            <w:r w:rsidRPr="0036428A">
              <w:t>*</w:t>
            </w:r>
          </w:p>
        </w:tc>
        <w:tc>
          <w:tcPr>
            <w:tcW w:w="1555" w:type="dxa"/>
          </w:tcPr>
          <w:p w:rsidR="004F3163" w:rsidRPr="009610A4" w:rsidRDefault="004F3163" w:rsidP="002A69FD">
            <w:pPr>
              <w:contextualSpacing/>
            </w:pPr>
            <w:r w:rsidRPr="0036428A">
              <w:t>Hal</w:t>
            </w:r>
          </w:p>
        </w:tc>
        <w:tc>
          <w:tcPr>
            <w:tcW w:w="1980" w:type="dxa"/>
          </w:tcPr>
          <w:p w:rsidR="004F3163" w:rsidRPr="009610A4" w:rsidRDefault="004F3163" w:rsidP="002A69FD">
            <w:pPr>
              <w:contextualSpacing/>
            </w:pPr>
            <w:r w:rsidRPr="0036428A">
              <w:t>Abel</w:t>
            </w:r>
          </w:p>
        </w:tc>
        <w:tc>
          <w:tcPr>
            <w:tcW w:w="3960" w:type="dxa"/>
          </w:tcPr>
          <w:p w:rsidR="004F3163" w:rsidRPr="009610A4" w:rsidRDefault="004F3163" w:rsidP="002A69FD">
            <w:pPr>
              <w:contextualSpacing/>
            </w:pPr>
            <w:r w:rsidRPr="0036428A">
              <w:t>Raytheon</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Pongpaiboon</w:t>
            </w:r>
          </w:p>
        </w:tc>
        <w:tc>
          <w:tcPr>
            <w:tcW w:w="1980" w:type="dxa"/>
          </w:tcPr>
          <w:p w:rsidR="004F3163" w:rsidRPr="009610A4" w:rsidRDefault="004F3163" w:rsidP="002A69FD">
            <w:pPr>
              <w:contextualSpacing/>
            </w:pPr>
            <w:r w:rsidRPr="00B4770A">
              <w:t>Akapaiboon</w:t>
            </w:r>
          </w:p>
        </w:tc>
        <w:tc>
          <w:tcPr>
            <w:tcW w:w="3960" w:type="dxa"/>
          </w:tcPr>
          <w:p w:rsidR="004F3163" w:rsidRPr="009610A4" w:rsidRDefault="004F3163" w:rsidP="002A69FD">
            <w:pPr>
              <w:contextualSpacing/>
            </w:pPr>
            <w:r w:rsidRPr="00A33658">
              <w:t>Triumph Structures (Thailand) Ltd.</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Augusto</w:t>
            </w:r>
          </w:p>
        </w:tc>
        <w:tc>
          <w:tcPr>
            <w:tcW w:w="1980" w:type="dxa"/>
          </w:tcPr>
          <w:p w:rsidR="004F3163" w:rsidRPr="009610A4" w:rsidRDefault="004F3163" w:rsidP="002A69FD">
            <w:pPr>
              <w:contextualSpacing/>
            </w:pPr>
            <w:proofErr w:type="spellStart"/>
            <w:r w:rsidRPr="00B4770A">
              <w:t>Albolino</w:t>
            </w:r>
            <w:proofErr w:type="spellEnd"/>
          </w:p>
        </w:tc>
        <w:tc>
          <w:tcPr>
            <w:tcW w:w="3960" w:type="dxa"/>
          </w:tcPr>
          <w:p w:rsidR="004F3163" w:rsidRPr="009610A4" w:rsidRDefault="004F3163" w:rsidP="002A69FD">
            <w:pPr>
              <w:contextualSpacing/>
            </w:pPr>
            <w:r w:rsidRPr="00A33658">
              <w:t xml:space="preserve">Finmeccanica </w:t>
            </w:r>
            <w:proofErr w:type="spellStart"/>
            <w:r w:rsidRPr="00A33658">
              <w:t>SpA</w:t>
            </w:r>
            <w:proofErr w:type="spellEnd"/>
            <w:r w:rsidR="003F4D59">
              <w:t xml:space="preserve">, </w:t>
            </w:r>
            <w:proofErr w:type="spellStart"/>
            <w:r w:rsidR="003F4D59">
              <w:t>Settore</w:t>
            </w:r>
            <w:proofErr w:type="spellEnd"/>
            <w:r w:rsidR="003F4D59">
              <w:t xml:space="preserve"> </w:t>
            </w:r>
            <w:proofErr w:type="spellStart"/>
            <w:r w:rsidR="003F4D59">
              <w:t>Aeronautica</w:t>
            </w:r>
            <w:proofErr w:type="spellEnd"/>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Antonio</w:t>
            </w:r>
          </w:p>
        </w:tc>
        <w:tc>
          <w:tcPr>
            <w:tcW w:w="1980" w:type="dxa"/>
          </w:tcPr>
          <w:p w:rsidR="004F3163" w:rsidRPr="009610A4" w:rsidRDefault="004F3163" w:rsidP="002A69FD">
            <w:pPr>
              <w:contextualSpacing/>
            </w:pPr>
            <w:proofErr w:type="spellStart"/>
            <w:r w:rsidRPr="00B4770A">
              <w:t>Alcina</w:t>
            </w:r>
            <w:proofErr w:type="spellEnd"/>
            <w:r w:rsidRPr="00B4770A">
              <w:t xml:space="preserve"> Sanchez</w:t>
            </w:r>
          </w:p>
        </w:tc>
        <w:tc>
          <w:tcPr>
            <w:tcW w:w="3960" w:type="dxa"/>
          </w:tcPr>
          <w:p w:rsidR="004F3163" w:rsidRPr="009610A4" w:rsidRDefault="004F3163" w:rsidP="002A69FD">
            <w:pPr>
              <w:contextualSpacing/>
            </w:pPr>
            <w:r w:rsidRPr="00A33658">
              <w:t>AIRBUS DS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Tomohiko</w:t>
            </w:r>
          </w:p>
        </w:tc>
        <w:tc>
          <w:tcPr>
            <w:tcW w:w="1980" w:type="dxa"/>
          </w:tcPr>
          <w:p w:rsidR="004F3163" w:rsidRPr="009610A4" w:rsidRDefault="004F3163" w:rsidP="002A69FD">
            <w:pPr>
              <w:contextualSpacing/>
            </w:pPr>
            <w:r w:rsidRPr="00B4770A">
              <w:t>Ashikaga</w:t>
            </w:r>
          </w:p>
        </w:tc>
        <w:tc>
          <w:tcPr>
            <w:tcW w:w="3960" w:type="dxa"/>
          </w:tcPr>
          <w:p w:rsidR="004F3163" w:rsidRPr="009610A4" w:rsidRDefault="004F3163" w:rsidP="002A69FD">
            <w:pPr>
              <w:contextualSpacing/>
            </w:pPr>
            <w:r w:rsidRPr="00A33658">
              <w:t>Mitsubishi Heavy Industries, Ltd.</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Craig</w:t>
            </w:r>
          </w:p>
        </w:tc>
        <w:tc>
          <w:tcPr>
            <w:tcW w:w="1980" w:type="dxa"/>
          </w:tcPr>
          <w:p w:rsidR="004F3163" w:rsidRPr="009610A4" w:rsidRDefault="004F3163" w:rsidP="002A69FD">
            <w:pPr>
              <w:contextualSpacing/>
            </w:pPr>
            <w:r w:rsidRPr="00B4770A">
              <w:t>Barnthson</w:t>
            </w:r>
          </w:p>
        </w:tc>
        <w:tc>
          <w:tcPr>
            <w:tcW w:w="3960" w:type="dxa"/>
          </w:tcPr>
          <w:p w:rsidR="004F3163" w:rsidRPr="009610A4" w:rsidRDefault="004F3163" w:rsidP="002A69FD">
            <w:pPr>
              <w:contextualSpacing/>
            </w:pPr>
            <w:r w:rsidRPr="00A33658">
              <w:t>Bell Helicopter</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Piotr</w:t>
            </w:r>
          </w:p>
        </w:tc>
        <w:tc>
          <w:tcPr>
            <w:tcW w:w="1980" w:type="dxa"/>
          </w:tcPr>
          <w:p w:rsidR="004F3163" w:rsidRPr="009610A4" w:rsidRDefault="004F3163" w:rsidP="002A69FD">
            <w:pPr>
              <w:contextualSpacing/>
            </w:pPr>
            <w:proofErr w:type="spellStart"/>
            <w:r w:rsidRPr="00B4770A">
              <w:t>Bienia</w:t>
            </w:r>
            <w:proofErr w:type="spellEnd"/>
          </w:p>
        </w:tc>
        <w:tc>
          <w:tcPr>
            <w:tcW w:w="3960" w:type="dxa"/>
          </w:tcPr>
          <w:p w:rsidR="004F3163" w:rsidRPr="009610A4" w:rsidRDefault="004F3163" w:rsidP="002A69FD">
            <w:pPr>
              <w:contextualSpacing/>
            </w:pPr>
            <w:r w:rsidRPr="00A33658">
              <w:t>UTC Aerospace (Goodrich)</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Malik</w:t>
            </w:r>
          </w:p>
        </w:tc>
        <w:tc>
          <w:tcPr>
            <w:tcW w:w="1980" w:type="dxa"/>
          </w:tcPr>
          <w:p w:rsidR="004F3163" w:rsidRPr="009610A4" w:rsidRDefault="004F3163" w:rsidP="002A69FD">
            <w:pPr>
              <w:contextualSpacing/>
            </w:pPr>
            <w:proofErr w:type="spellStart"/>
            <w:r w:rsidRPr="00B4770A">
              <w:t>Boutoba</w:t>
            </w:r>
            <w:proofErr w:type="spellEnd"/>
          </w:p>
        </w:tc>
        <w:tc>
          <w:tcPr>
            <w:tcW w:w="3960" w:type="dxa"/>
          </w:tcPr>
          <w:p w:rsidR="004F3163" w:rsidRPr="009610A4" w:rsidRDefault="004F3163" w:rsidP="002A69FD">
            <w:pPr>
              <w:contextualSpacing/>
            </w:pPr>
            <w:r w:rsidRPr="00A33658">
              <w:t>Airbus Helicopters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Carleen</w:t>
            </w:r>
          </w:p>
        </w:tc>
        <w:tc>
          <w:tcPr>
            <w:tcW w:w="1980" w:type="dxa"/>
          </w:tcPr>
          <w:p w:rsidR="004F3163" w:rsidRPr="009610A4" w:rsidRDefault="004F3163" w:rsidP="002A69FD">
            <w:pPr>
              <w:contextualSpacing/>
            </w:pPr>
            <w:r w:rsidRPr="00B4770A">
              <w:t>Brubaker</w:t>
            </w:r>
          </w:p>
        </w:tc>
        <w:tc>
          <w:tcPr>
            <w:tcW w:w="3960" w:type="dxa"/>
          </w:tcPr>
          <w:p w:rsidR="004F3163" w:rsidRPr="009610A4" w:rsidRDefault="004F3163" w:rsidP="002A69FD">
            <w:pPr>
              <w:contextualSpacing/>
            </w:pPr>
            <w:r w:rsidRPr="00A33658">
              <w:t>AIRBUS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Jeff</w:t>
            </w:r>
          </w:p>
        </w:tc>
        <w:tc>
          <w:tcPr>
            <w:tcW w:w="1980" w:type="dxa"/>
          </w:tcPr>
          <w:p w:rsidR="004F3163" w:rsidRPr="009610A4" w:rsidRDefault="004F3163" w:rsidP="002A69FD">
            <w:pPr>
              <w:contextualSpacing/>
            </w:pPr>
            <w:r w:rsidRPr="00B4770A">
              <w:t>Cerre</w:t>
            </w:r>
          </w:p>
        </w:tc>
        <w:tc>
          <w:tcPr>
            <w:tcW w:w="3960" w:type="dxa"/>
          </w:tcPr>
          <w:p w:rsidR="004F3163" w:rsidRPr="009610A4" w:rsidRDefault="004F3163" w:rsidP="002A69FD">
            <w:pPr>
              <w:contextualSpacing/>
            </w:pPr>
            <w:r w:rsidRPr="00A33658">
              <w:t>Beechcraft</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proofErr w:type="spellStart"/>
            <w:r>
              <w:t>Jie</w:t>
            </w:r>
            <w:proofErr w:type="spellEnd"/>
          </w:p>
        </w:tc>
        <w:tc>
          <w:tcPr>
            <w:tcW w:w="1980" w:type="dxa"/>
          </w:tcPr>
          <w:p w:rsidR="004F3163" w:rsidRPr="009610A4" w:rsidRDefault="004F3163" w:rsidP="002A69FD">
            <w:pPr>
              <w:contextualSpacing/>
            </w:pPr>
            <w:r>
              <w:t>Chen</w:t>
            </w:r>
          </w:p>
        </w:tc>
        <w:tc>
          <w:tcPr>
            <w:tcW w:w="3960" w:type="dxa"/>
          </w:tcPr>
          <w:p w:rsidR="004F3163" w:rsidRPr="009610A4" w:rsidRDefault="004F3163" w:rsidP="002A69FD">
            <w:pPr>
              <w:contextualSpacing/>
            </w:pPr>
            <w:proofErr w:type="spellStart"/>
            <w:r>
              <w:t>Comac</w:t>
            </w:r>
            <w:proofErr w:type="spellEnd"/>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Michael</w:t>
            </w:r>
          </w:p>
        </w:tc>
        <w:tc>
          <w:tcPr>
            <w:tcW w:w="1980" w:type="dxa"/>
          </w:tcPr>
          <w:p w:rsidR="004F3163" w:rsidRPr="009610A4" w:rsidRDefault="004F3163" w:rsidP="002A69FD">
            <w:pPr>
              <w:contextualSpacing/>
            </w:pPr>
            <w:r w:rsidRPr="00B4770A">
              <w:t>Coleman</w:t>
            </w:r>
          </w:p>
        </w:tc>
        <w:tc>
          <w:tcPr>
            <w:tcW w:w="3960" w:type="dxa"/>
          </w:tcPr>
          <w:p w:rsidR="004F3163" w:rsidRPr="009610A4" w:rsidRDefault="004F3163" w:rsidP="002A69FD">
            <w:pPr>
              <w:contextualSpacing/>
            </w:pPr>
            <w:r w:rsidRPr="00A33658">
              <w:t>The Boeing Company</w:t>
            </w:r>
          </w:p>
        </w:tc>
        <w:tc>
          <w:tcPr>
            <w:tcW w:w="1775" w:type="dxa"/>
          </w:tcPr>
          <w:p w:rsidR="004F3163" w:rsidRDefault="003A0B35" w:rsidP="002A69FD">
            <w:pPr>
              <w:contextualSpacing/>
            </w:pPr>
            <w:r>
              <w:t>Vice Chairperson</w:t>
            </w: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Alessio</w:t>
            </w:r>
          </w:p>
        </w:tc>
        <w:tc>
          <w:tcPr>
            <w:tcW w:w="1980" w:type="dxa"/>
          </w:tcPr>
          <w:p w:rsidR="004F3163" w:rsidRPr="009610A4" w:rsidRDefault="004F3163" w:rsidP="002A69FD">
            <w:pPr>
              <w:contextualSpacing/>
            </w:pPr>
            <w:proofErr w:type="spellStart"/>
            <w:r w:rsidRPr="00B4770A">
              <w:t>Colombara</w:t>
            </w:r>
            <w:proofErr w:type="spellEnd"/>
          </w:p>
        </w:tc>
        <w:tc>
          <w:tcPr>
            <w:tcW w:w="3960" w:type="dxa"/>
          </w:tcPr>
          <w:p w:rsidR="004F3163" w:rsidRPr="009610A4" w:rsidRDefault="00F4416F" w:rsidP="002A69FD">
            <w:pPr>
              <w:contextualSpacing/>
            </w:pPr>
            <w:r>
              <w:t>Finmeccanica Helicopter Division</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Karen</w:t>
            </w:r>
          </w:p>
        </w:tc>
        <w:tc>
          <w:tcPr>
            <w:tcW w:w="1980" w:type="dxa"/>
          </w:tcPr>
          <w:p w:rsidR="004F3163" w:rsidRPr="009610A4" w:rsidRDefault="004F3163" w:rsidP="002A69FD">
            <w:pPr>
              <w:contextualSpacing/>
            </w:pPr>
            <w:proofErr w:type="spellStart"/>
            <w:r w:rsidRPr="00B4770A">
              <w:t>Dannis</w:t>
            </w:r>
            <w:proofErr w:type="spellEnd"/>
          </w:p>
        </w:tc>
        <w:tc>
          <w:tcPr>
            <w:tcW w:w="3960" w:type="dxa"/>
          </w:tcPr>
          <w:p w:rsidR="004F3163" w:rsidRPr="009610A4" w:rsidRDefault="004F3163" w:rsidP="002A69FD">
            <w:pPr>
              <w:contextualSpacing/>
            </w:pPr>
            <w:r w:rsidRPr="00A33658">
              <w:t>BAE Systems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t>Francisco</w:t>
            </w:r>
          </w:p>
        </w:tc>
        <w:tc>
          <w:tcPr>
            <w:tcW w:w="1980" w:type="dxa"/>
          </w:tcPr>
          <w:p w:rsidR="004F3163" w:rsidRPr="009610A4" w:rsidRDefault="004F3163" w:rsidP="002A69FD">
            <w:pPr>
              <w:contextualSpacing/>
            </w:pPr>
            <w:r>
              <w:t xml:space="preserve">Del Valle </w:t>
            </w:r>
          </w:p>
        </w:tc>
        <w:tc>
          <w:tcPr>
            <w:tcW w:w="3960" w:type="dxa"/>
          </w:tcPr>
          <w:p w:rsidR="004F3163" w:rsidRPr="009610A4" w:rsidRDefault="004F3163" w:rsidP="002A69FD">
            <w:pPr>
              <w:contextualSpacing/>
            </w:pPr>
            <w:r>
              <w:t>Airbus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Karyn</w:t>
            </w:r>
          </w:p>
        </w:tc>
        <w:tc>
          <w:tcPr>
            <w:tcW w:w="1980" w:type="dxa"/>
          </w:tcPr>
          <w:p w:rsidR="004F3163" w:rsidRPr="009610A4" w:rsidRDefault="004F3163" w:rsidP="002A69FD">
            <w:pPr>
              <w:contextualSpacing/>
            </w:pPr>
            <w:r w:rsidRPr="00B4770A">
              <w:t>Deming</w:t>
            </w:r>
          </w:p>
        </w:tc>
        <w:tc>
          <w:tcPr>
            <w:tcW w:w="3960" w:type="dxa"/>
          </w:tcPr>
          <w:p w:rsidR="004F3163" w:rsidRPr="009610A4" w:rsidRDefault="004F3163" w:rsidP="002A69FD">
            <w:pPr>
              <w:contextualSpacing/>
            </w:pPr>
            <w:r w:rsidRPr="00A33658">
              <w:t>UTC Aerospace (Goodrich)</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Kevin</w:t>
            </w:r>
          </w:p>
        </w:tc>
        <w:tc>
          <w:tcPr>
            <w:tcW w:w="1980" w:type="dxa"/>
          </w:tcPr>
          <w:p w:rsidR="004F3163" w:rsidRPr="009610A4" w:rsidRDefault="004F3163" w:rsidP="002A69FD">
            <w:pPr>
              <w:contextualSpacing/>
            </w:pPr>
            <w:r w:rsidRPr="00B4770A">
              <w:t>Dowling</w:t>
            </w:r>
          </w:p>
        </w:tc>
        <w:tc>
          <w:tcPr>
            <w:tcW w:w="3960" w:type="dxa"/>
          </w:tcPr>
          <w:p w:rsidR="004F3163" w:rsidRPr="009610A4" w:rsidRDefault="004F3163" w:rsidP="002A69FD">
            <w:pPr>
              <w:contextualSpacing/>
            </w:pPr>
            <w:r w:rsidRPr="00A33658">
              <w:t>Spirit AeroSystems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proofErr w:type="spellStart"/>
            <w:r w:rsidRPr="00B4770A">
              <w:t>Frédéric</w:t>
            </w:r>
            <w:proofErr w:type="spellEnd"/>
          </w:p>
        </w:tc>
        <w:tc>
          <w:tcPr>
            <w:tcW w:w="1980" w:type="dxa"/>
          </w:tcPr>
          <w:p w:rsidR="004F3163" w:rsidRPr="009610A4" w:rsidRDefault="004F3163" w:rsidP="002A69FD">
            <w:pPr>
              <w:contextualSpacing/>
            </w:pPr>
            <w:r w:rsidRPr="00B4770A">
              <w:t>Duhamel</w:t>
            </w:r>
          </w:p>
        </w:tc>
        <w:tc>
          <w:tcPr>
            <w:tcW w:w="3960" w:type="dxa"/>
          </w:tcPr>
          <w:p w:rsidR="004F3163" w:rsidRPr="009610A4" w:rsidRDefault="004F3163" w:rsidP="002A69FD">
            <w:pPr>
              <w:contextualSpacing/>
            </w:pPr>
            <w:r w:rsidRPr="00A33658">
              <w:t>THALES GLOBAL SERVICES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DF78E8">
            <w:pPr>
              <w:contextualSpacing/>
            </w:pPr>
            <w:r w:rsidRPr="00D91B3D">
              <w:t>*</w:t>
            </w:r>
          </w:p>
        </w:tc>
        <w:tc>
          <w:tcPr>
            <w:tcW w:w="1555" w:type="dxa"/>
          </w:tcPr>
          <w:p w:rsidR="004F3163" w:rsidRPr="009610A4" w:rsidRDefault="004F3163" w:rsidP="00DF78E8">
            <w:pPr>
              <w:contextualSpacing/>
            </w:pPr>
            <w:r w:rsidRPr="00B4770A">
              <w:t>Greg</w:t>
            </w:r>
          </w:p>
        </w:tc>
        <w:tc>
          <w:tcPr>
            <w:tcW w:w="1980" w:type="dxa"/>
          </w:tcPr>
          <w:p w:rsidR="004F3163" w:rsidRPr="009610A4" w:rsidRDefault="004F3163" w:rsidP="00DF78E8">
            <w:pPr>
              <w:contextualSpacing/>
            </w:pPr>
            <w:proofErr w:type="spellStart"/>
            <w:r w:rsidRPr="00B4770A">
              <w:t>Haataja</w:t>
            </w:r>
            <w:proofErr w:type="spellEnd"/>
          </w:p>
        </w:tc>
        <w:tc>
          <w:tcPr>
            <w:tcW w:w="3960" w:type="dxa"/>
          </w:tcPr>
          <w:p w:rsidR="004F3163" w:rsidRPr="009610A4" w:rsidRDefault="004F3163" w:rsidP="00DF78E8">
            <w:pPr>
              <w:contextualSpacing/>
            </w:pPr>
            <w:r w:rsidRPr="00A33658">
              <w:t>Bell Helicopter Textron</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D91B3D">
              <w:t>*</w:t>
            </w:r>
          </w:p>
        </w:tc>
        <w:tc>
          <w:tcPr>
            <w:tcW w:w="1555" w:type="dxa"/>
          </w:tcPr>
          <w:p w:rsidR="004F3163" w:rsidRPr="009610A4" w:rsidRDefault="004F3163" w:rsidP="00DF78E8">
            <w:pPr>
              <w:contextualSpacing/>
            </w:pPr>
            <w:r w:rsidRPr="00B4770A">
              <w:t>Kazuhiro</w:t>
            </w:r>
          </w:p>
        </w:tc>
        <w:tc>
          <w:tcPr>
            <w:tcW w:w="1980" w:type="dxa"/>
          </w:tcPr>
          <w:p w:rsidR="004F3163" w:rsidRPr="009610A4" w:rsidRDefault="004F3163" w:rsidP="00DF78E8">
            <w:pPr>
              <w:contextualSpacing/>
            </w:pPr>
            <w:r w:rsidRPr="00B4770A">
              <w:t>Kajima</w:t>
            </w:r>
          </w:p>
        </w:tc>
        <w:tc>
          <w:tcPr>
            <w:tcW w:w="3960" w:type="dxa"/>
          </w:tcPr>
          <w:p w:rsidR="004F3163" w:rsidRPr="009610A4" w:rsidRDefault="004F3163" w:rsidP="00DF78E8">
            <w:pPr>
              <w:contextualSpacing/>
            </w:pPr>
            <w:r w:rsidRPr="00A33658">
              <w:t>Mitsubishi Heavy Industries, Ltd.</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Eric</w:t>
            </w:r>
          </w:p>
        </w:tc>
        <w:tc>
          <w:tcPr>
            <w:tcW w:w="1980" w:type="dxa"/>
          </w:tcPr>
          <w:p w:rsidR="004F3163" w:rsidRPr="009610A4" w:rsidRDefault="004F3163" w:rsidP="002A69FD">
            <w:pPr>
              <w:contextualSpacing/>
            </w:pPr>
            <w:r w:rsidRPr="00B4770A">
              <w:t>Le Fort</w:t>
            </w:r>
          </w:p>
        </w:tc>
        <w:tc>
          <w:tcPr>
            <w:tcW w:w="3960" w:type="dxa"/>
          </w:tcPr>
          <w:p w:rsidR="004F3163" w:rsidRPr="009610A4" w:rsidRDefault="004F3163" w:rsidP="002A69FD">
            <w:pPr>
              <w:contextualSpacing/>
            </w:pPr>
            <w:proofErr w:type="spellStart"/>
            <w:r w:rsidRPr="00A33658">
              <w:t>Sonaca</w:t>
            </w:r>
            <w:proofErr w:type="spellEnd"/>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Marc-André</w:t>
            </w:r>
          </w:p>
        </w:tc>
        <w:tc>
          <w:tcPr>
            <w:tcW w:w="1980" w:type="dxa"/>
          </w:tcPr>
          <w:p w:rsidR="004F3163" w:rsidRPr="009610A4" w:rsidRDefault="004F3163" w:rsidP="002A69FD">
            <w:pPr>
              <w:contextualSpacing/>
            </w:pPr>
            <w:r w:rsidRPr="00B4770A">
              <w:t>Lefebvre</w:t>
            </w:r>
          </w:p>
        </w:tc>
        <w:tc>
          <w:tcPr>
            <w:tcW w:w="3960" w:type="dxa"/>
          </w:tcPr>
          <w:p w:rsidR="004F3163" w:rsidRPr="009610A4" w:rsidRDefault="004F3163" w:rsidP="002A69FD">
            <w:pPr>
              <w:contextualSpacing/>
            </w:pPr>
            <w:proofErr w:type="spellStart"/>
            <w:r w:rsidRPr="00A33658">
              <w:t>Héroux-Devtek</w:t>
            </w:r>
            <w:proofErr w:type="spellEnd"/>
            <w:r w:rsidRPr="00A33658">
              <w:t xml:space="preserve"> Inc.</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proofErr w:type="spellStart"/>
            <w:r w:rsidRPr="00B4770A">
              <w:t>Stéphane</w:t>
            </w:r>
            <w:proofErr w:type="spellEnd"/>
          </w:p>
        </w:tc>
        <w:tc>
          <w:tcPr>
            <w:tcW w:w="1980" w:type="dxa"/>
          </w:tcPr>
          <w:p w:rsidR="004F3163" w:rsidRPr="009610A4" w:rsidRDefault="004F3163" w:rsidP="002A69FD">
            <w:pPr>
              <w:contextualSpacing/>
            </w:pPr>
            <w:proofErr w:type="spellStart"/>
            <w:r w:rsidRPr="00B4770A">
              <w:t>Lesueur</w:t>
            </w:r>
            <w:proofErr w:type="spellEnd"/>
          </w:p>
        </w:tc>
        <w:tc>
          <w:tcPr>
            <w:tcW w:w="3960" w:type="dxa"/>
          </w:tcPr>
          <w:p w:rsidR="004F3163" w:rsidRPr="009610A4" w:rsidRDefault="004F3163" w:rsidP="002A69FD">
            <w:pPr>
              <w:contextualSpacing/>
            </w:pPr>
            <w:r w:rsidRPr="00A33658">
              <w:t>SAFRAN</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Susan</w:t>
            </w:r>
          </w:p>
        </w:tc>
        <w:tc>
          <w:tcPr>
            <w:tcW w:w="1980" w:type="dxa"/>
          </w:tcPr>
          <w:p w:rsidR="004F3163" w:rsidRPr="009610A4" w:rsidRDefault="004F3163" w:rsidP="002A69FD">
            <w:pPr>
              <w:contextualSpacing/>
            </w:pPr>
            <w:r w:rsidRPr="00B4770A">
              <w:t>Lewis</w:t>
            </w:r>
          </w:p>
        </w:tc>
        <w:tc>
          <w:tcPr>
            <w:tcW w:w="3960" w:type="dxa"/>
          </w:tcPr>
          <w:p w:rsidR="004F3163" w:rsidRPr="009610A4" w:rsidRDefault="004F3163" w:rsidP="002A69FD">
            <w:pPr>
              <w:contextualSpacing/>
            </w:pPr>
            <w:r w:rsidRPr="00A33658">
              <w:t>Lockheed Martin Corporation</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Adrien</w:t>
            </w:r>
          </w:p>
        </w:tc>
        <w:tc>
          <w:tcPr>
            <w:tcW w:w="1980" w:type="dxa"/>
          </w:tcPr>
          <w:p w:rsidR="004F3163" w:rsidRPr="009610A4" w:rsidRDefault="004F3163" w:rsidP="002A69FD">
            <w:pPr>
              <w:contextualSpacing/>
            </w:pPr>
            <w:proofErr w:type="spellStart"/>
            <w:r w:rsidRPr="00B4770A">
              <w:t>Maffre</w:t>
            </w:r>
            <w:proofErr w:type="spellEnd"/>
          </w:p>
        </w:tc>
        <w:tc>
          <w:tcPr>
            <w:tcW w:w="3960" w:type="dxa"/>
          </w:tcPr>
          <w:p w:rsidR="004F3163" w:rsidRPr="009610A4" w:rsidRDefault="004F3163" w:rsidP="002A69FD">
            <w:pPr>
              <w:contextualSpacing/>
            </w:pPr>
            <w:r w:rsidRPr="00A33658">
              <w:t>AIRBUS</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DF78E8">
            <w:pPr>
              <w:contextualSpacing/>
            </w:pPr>
            <w:r w:rsidRPr="006827D2">
              <w:t>*</w:t>
            </w:r>
          </w:p>
        </w:tc>
        <w:tc>
          <w:tcPr>
            <w:tcW w:w="1555" w:type="dxa"/>
          </w:tcPr>
          <w:p w:rsidR="004F3163" w:rsidRPr="009610A4" w:rsidRDefault="004F3163" w:rsidP="00DF78E8">
            <w:pPr>
              <w:contextualSpacing/>
            </w:pPr>
            <w:r w:rsidRPr="00B4770A">
              <w:t>Nicholas</w:t>
            </w:r>
          </w:p>
        </w:tc>
        <w:tc>
          <w:tcPr>
            <w:tcW w:w="1980" w:type="dxa"/>
          </w:tcPr>
          <w:p w:rsidR="004F3163" w:rsidRPr="009610A4" w:rsidRDefault="004F3163" w:rsidP="00DF78E8">
            <w:pPr>
              <w:contextualSpacing/>
            </w:pPr>
            <w:proofErr w:type="spellStart"/>
            <w:r w:rsidRPr="00B4770A">
              <w:t>Magnapera</w:t>
            </w:r>
            <w:proofErr w:type="spellEnd"/>
          </w:p>
        </w:tc>
        <w:tc>
          <w:tcPr>
            <w:tcW w:w="3960" w:type="dxa"/>
          </w:tcPr>
          <w:p w:rsidR="004F3163" w:rsidRPr="009610A4" w:rsidRDefault="004F3163" w:rsidP="00DF78E8">
            <w:pPr>
              <w:contextualSpacing/>
            </w:pPr>
            <w:r w:rsidRPr="00A33658">
              <w:t>BAE Systems Inc.</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6827D2">
              <w:t>*</w:t>
            </w:r>
          </w:p>
        </w:tc>
        <w:tc>
          <w:tcPr>
            <w:tcW w:w="1555" w:type="dxa"/>
          </w:tcPr>
          <w:p w:rsidR="004F3163" w:rsidRPr="009610A4" w:rsidRDefault="004F3163" w:rsidP="00DF78E8">
            <w:pPr>
              <w:contextualSpacing/>
            </w:pPr>
            <w:r w:rsidRPr="00B4770A">
              <w:t>Veronique</w:t>
            </w:r>
          </w:p>
        </w:tc>
        <w:tc>
          <w:tcPr>
            <w:tcW w:w="1980" w:type="dxa"/>
          </w:tcPr>
          <w:p w:rsidR="004F3163" w:rsidRPr="009610A4" w:rsidRDefault="004F3163" w:rsidP="00DF78E8">
            <w:pPr>
              <w:contextualSpacing/>
            </w:pPr>
            <w:r w:rsidRPr="00B4770A">
              <w:t>Marcel</w:t>
            </w:r>
          </w:p>
        </w:tc>
        <w:tc>
          <w:tcPr>
            <w:tcW w:w="3960" w:type="dxa"/>
          </w:tcPr>
          <w:p w:rsidR="004F3163" w:rsidRPr="009610A4" w:rsidRDefault="004F3163" w:rsidP="00DF78E8">
            <w:pPr>
              <w:contextualSpacing/>
            </w:pPr>
            <w:r w:rsidRPr="00A33658">
              <w:t>SAFRAN</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6827D2">
              <w:t>*</w:t>
            </w:r>
          </w:p>
        </w:tc>
        <w:tc>
          <w:tcPr>
            <w:tcW w:w="1555" w:type="dxa"/>
          </w:tcPr>
          <w:p w:rsidR="004F3163" w:rsidRPr="009610A4" w:rsidRDefault="004F3163" w:rsidP="00DF78E8">
            <w:pPr>
              <w:contextualSpacing/>
            </w:pPr>
            <w:r w:rsidRPr="00B4770A">
              <w:t>Steve</w:t>
            </w:r>
          </w:p>
        </w:tc>
        <w:tc>
          <w:tcPr>
            <w:tcW w:w="1980" w:type="dxa"/>
          </w:tcPr>
          <w:p w:rsidR="004F3163" w:rsidRPr="009610A4" w:rsidRDefault="004F3163" w:rsidP="00DF78E8">
            <w:pPr>
              <w:contextualSpacing/>
            </w:pPr>
            <w:r w:rsidRPr="00B4770A">
              <w:t>McDonough</w:t>
            </w:r>
          </w:p>
        </w:tc>
        <w:tc>
          <w:tcPr>
            <w:tcW w:w="3960" w:type="dxa"/>
          </w:tcPr>
          <w:p w:rsidR="004F3163" w:rsidRPr="009610A4" w:rsidRDefault="004F3163" w:rsidP="00DF78E8">
            <w:pPr>
              <w:contextualSpacing/>
            </w:pPr>
            <w:r w:rsidRPr="00A33658">
              <w:t>Triumph Group</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A30FB8">
              <w:t>*</w:t>
            </w:r>
          </w:p>
        </w:tc>
        <w:tc>
          <w:tcPr>
            <w:tcW w:w="1555" w:type="dxa"/>
          </w:tcPr>
          <w:p w:rsidR="004F3163" w:rsidRPr="009610A4" w:rsidRDefault="004F3163" w:rsidP="00DF78E8">
            <w:pPr>
              <w:contextualSpacing/>
            </w:pPr>
            <w:r w:rsidRPr="00B4770A">
              <w:t>Marc</w:t>
            </w:r>
          </w:p>
        </w:tc>
        <w:tc>
          <w:tcPr>
            <w:tcW w:w="1980" w:type="dxa"/>
          </w:tcPr>
          <w:p w:rsidR="004F3163" w:rsidRPr="009610A4" w:rsidRDefault="004F3163" w:rsidP="00DF78E8">
            <w:pPr>
              <w:contextualSpacing/>
            </w:pPr>
            <w:r w:rsidRPr="00B4770A">
              <w:t>Montreuil</w:t>
            </w:r>
          </w:p>
        </w:tc>
        <w:tc>
          <w:tcPr>
            <w:tcW w:w="3960" w:type="dxa"/>
          </w:tcPr>
          <w:p w:rsidR="004F3163" w:rsidRPr="009610A4" w:rsidRDefault="004F3163" w:rsidP="00DF78E8">
            <w:pPr>
              <w:contextualSpacing/>
            </w:pPr>
            <w:proofErr w:type="spellStart"/>
            <w:r w:rsidRPr="00A33658">
              <w:t>Héroux-Devtek</w:t>
            </w:r>
            <w:proofErr w:type="spellEnd"/>
            <w:r w:rsidRPr="00A33658">
              <w:t xml:space="preserve"> Inc.</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A30FB8">
              <w:t>*</w:t>
            </w:r>
          </w:p>
        </w:tc>
        <w:tc>
          <w:tcPr>
            <w:tcW w:w="1555" w:type="dxa"/>
          </w:tcPr>
          <w:p w:rsidR="004F3163" w:rsidRPr="009610A4" w:rsidRDefault="004F3163" w:rsidP="00DF78E8">
            <w:pPr>
              <w:contextualSpacing/>
            </w:pPr>
            <w:proofErr w:type="spellStart"/>
            <w:r w:rsidRPr="00B4770A">
              <w:t>Ramalingam</w:t>
            </w:r>
            <w:proofErr w:type="spellEnd"/>
          </w:p>
        </w:tc>
        <w:tc>
          <w:tcPr>
            <w:tcW w:w="1980" w:type="dxa"/>
          </w:tcPr>
          <w:p w:rsidR="004F3163" w:rsidRPr="009610A4" w:rsidRDefault="004F3163" w:rsidP="00DF78E8">
            <w:pPr>
              <w:contextualSpacing/>
            </w:pPr>
            <w:proofErr w:type="spellStart"/>
            <w:r w:rsidRPr="00B4770A">
              <w:t>Muralikrishnan</w:t>
            </w:r>
            <w:proofErr w:type="spellEnd"/>
          </w:p>
        </w:tc>
        <w:tc>
          <w:tcPr>
            <w:tcW w:w="3960" w:type="dxa"/>
          </w:tcPr>
          <w:p w:rsidR="004F3163" w:rsidRPr="009610A4" w:rsidRDefault="004F3163" w:rsidP="00DF78E8">
            <w:pPr>
              <w:contextualSpacing/>
            </w:pPr>
            <w:r w:rsidRPr="00A33658">
              <w:t>GE Aviation</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B4770A">
              <w:t>Angela</w:t>
            </w:r>
          </w:p>
        </w:tc>
        <w:tc>
          <w:tcPr>
            <w:tcW w:w="1980" w:type="dxa"/>
          </w:tcPr>
          <w:p w:rsidR="004F3163" w:rsidRPr="009610A4" w:rsidRDefault="004F3163" w:rsidP="002A69FD">
            <w:pPr>
              <w:contextualSpacing/>
            </w:pPr>
            <w:proofErr w:type="spellStart"/>
            <w:r w:rsidRPr="00B4770A">
              <w:t>Nåbo</w:t>
            </w:r>
            <w:proofErr w:type="spellEnd"/>
          </w:p>
        </w:tc>
        <w:tc>
          <w:tcPr>
            <w:tcW w:w="3960" w:type="dxa"/>
          </w:tcPr>
          <w:p w:rsidR="004F3163" w:rsidRPr="009610A4" w:rsidRDefault="004F3163" w:rsidP="003F4D59">
            <w:pPr>
              <w:contextualSpacing/>
            </w:pPr>
            <w:r w:rsidRPr="00A33658">
              <w:t>GKN Aerospace Sweden</w:t>
            </w:r>
            <w:r w:rsidR="003F4D59">
              <w:t xml:space="preserve"> AB</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DF78E8">
            <w:pPr>
              <w:contextualSpacing/>
            </w:pPr>
            <w:r w:rsidRPr="00457988">
              <w:t>*</w:t>
            </w:r>
          </w:p>
        </w:tc>
        <w:tc>
          <w:tcPr>
            <w:tcW w:w="1555" w:type="dxa"/>
          </w:tcPr>
          <w:p w:rsidR="004F3163" w:rsidRPr="009610A4" w:rsidRDefault="004F3163" w:rsidP="00DF78E8">
            <w:pPr>
              <w:contextualSpacing/>
            </w:pPr>
            <w:r w:rsidRPr="00B4770A">
              <w:t>Jerker</w:t>
            </w:r>
          </w:p>
        </w:tc>
        <w:tc>
          <w:tcPr>
            <w:tcW w:w="1980" w:type="dxa"/>
          </w:tcPr>
          <w:p w:rsidR="004F3163" w:rsidRPr="009610A4" w:rsidRDefault="004F3163" w:rsidP="00DF78E8">
            <w:pPr>
              <w:contextualSpacing/>
            </w:pPr>
            <w:proofErr w:type="spellStart"/>
            <w:r w:rsidRPr="00B4770A">
              <w:t>Nordh</w:t>
            </w:r>
            <w:proofErr w:type="spellEnd"/>
          </w:p>
        </w:tc>
        <w:tc>
          <w:tcPr>
            <w:tcW w:w="3960" w:type="dxa"/>
          </w:tcPr>
          <w:p w:rsidR="004F3163" w:rsidRPr="009610A4" w:rsidRDefault="004F3163" w:rsidP="00DF78E8">
            <w:pPr>
              <w:contextualSpacing/>
            </w:pPr>
            <w:r w:rsidRPr="00A33658">
              <w:t>GKN Aerospace Sweden AB</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457988">
              <w:t>*</w:t>
            </w:r>
          </w:p>
        </w:tc>
        <w:tc>
          <w:tcPr>
            <w:tcW w:w="1555" w:type="dxa"/>
          </w:tcPr>
          <w:p w:rsidR="004F3163" w:rsidRPr="009610A4" w:rsidRDefault="004F3163" w:rsidP="00DF78E8">
            <w:pPr>
              <w:contextualSpacing/>
            </w:pPr>
            <w:r w:rsidRPr="00B4770A">
              <w:t>Jeremy</w:t>
            </w:r>
          </w:p>
        </w:tc>
        <w:tc>
          <w:tcPr>
            <w:tcW w:w="1980" w:type="dxa"/>
          </w:tcPr>
          <w:p w:rsidR="004F3163" w:rsidRPr="009610A4" w:rsidRDefault="004F3163" w:rsidP="00DF78E8">
            <w:pPr>
              <w:contextualSpacing/>
            </w:pPr>
            <w:r w:rsidRPr="00B4770A">
              <w:t>Phillips</w:t>
            </w:r>
          </w:p>
        </w:tc>
        <w:tc>
          <w:tcPr>
            <w:tcW w:w="3960" w:type="dxa"/>
          </w:tcPr>
          <w:p w:rsidR="004F3163" w:rsidRPr="009610A4" w:rsidRDefault="004F3163" w:rsidP="00DF78E8">
            <w:pPr>
              <w:contextualSpacing/>
            </w:pPr>
            <w:r w:rsidRPr="00A33658">
              <w:t>Cessna Aircraft Company</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457988">
              <w:lastRenderedPageBreak/>
              <w:t>*</w:t>
            </w:r>
          </w:p>
        </w:tc>
        <w:tc>
          <w:tcPr>
            <w:tcW w:w="1555" w:type="dxa"/>
          </w:tcPr>
          <w:p w:rsidR="004F3163" w:rsidRPr="009610A4" w:rsidRDefault="004F3163" w:rsidP="00DF78E8">
            <w:pPr>
              <w:contextualSpacing/>
            </w:pPr>
            <w:r w:rsidRPr="00B4770A">
              <w:t>Josefa</w:t>
            </w:r>
          </w:p>
        </w:tc>
        <w:tc>
          <w:tcPr>
            <w:tcW w:w="1980" w:type="dxa"/>
          </w:tcPr>
          <w:p w:rsidR="004F3163" w:rsidRPr="009610A4" w:rsidRDefault="004F3163" w:rsidP="00DF78E8">
            <w:pPr>
              <w:contextualSpacing/>
            </w:pPr>
            <w:r w:rsidRPr="00B4770A">
              <w:t>Rodriguez</w:t>
            </w:r>
          </w:p>
        </w:tc>
        <w:tc>
          <w:tcPr>
            <w:tcW w:w="3960" w:type="dxa"/>
          </w:tcPr>
          <w:p w:rsidR="004F3163" w:rsidRPr="009610A4" w:rsidRDefault="004F3163" w:rsidP="00DF78E8">
            <w:pPr>
              <w:contextualSpacing/>
            </w:pPr>
            <w:r w:rsidRPr="00A33658">
              <w:t>Airbus Defense and Space</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B4770A">
              <w:t>Ester</w:t>
            </w:r>
          </w:p>
        </w:tc>
        <w:tc>
          <w:tcPr>
            <w:tcW w:w="1980" w:type="dxa"/>
          </w:tcPr>
          <w:p w:rsidR="004F3163" w:rsidRPr="009610A4" w:rsidRDefault="004F3163" w:rsidP="002A69FD">
            <w:pPr>
              <w:contextualSpacing/>
            </w:pPr>
            <w:r w:rsidRPr="00B4770A">
              <w:t>Sala-Bosch</w:t>
            </w:r>
          </w:p>
        </w:tc>
        <w:tc>
          <w:tcPr>
            <w:tcW w:w="3960" w:type="dxa"/>
          </w:tcPr>
          <w:p w:rsidR="004F3163" w:rsidRPr="009610A4" w:rsidRDefault="004F3163" w:rsidP="002A69FD">
            <w:pPr>
              <w:contextualSpacing/>
            </w:pPr>
            <w:r w:rsidRPr="00A33658">
              <w:t>Rolls-Royce Deutschland Ltd &amp; Co KG</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DF78E8">
            <w:pPr>
              <w:contextualSpacing/>
            </w:pPr>
            <w:r w:rsidRPr="00E656B3">
              <w:t>*</w:t>
            </w:r>
          </w:p>
        </w:tc>
        <w:tc>
          <w:tcPr>
            <w:tcW w:w="1555" w:type="dxa"/>
          </w:tcPr>
          <w:p w:rsidR="004F3163" w:rsidRPr="009610A4" w:rsidRDefault="004F3163" w:rsidP="00DF78E8">
            <w:pPr>
              <w:contextualSpacing/>
            </w:pPr>
            <w:r w:rsidRPr="000D6D1F">
              <w:t>Jonathan</w:t>
            </w:r>
          </w:p>
        </w:tc>
        <w:tc>
          <w:tcPr>
            <w:tcW w:w="1980" w:type="dxa"/>
          </w:tcPr>
          <w:p w:rsidR="004F3163" w:rsidRPr="009610A4" w:rsidRDefault="004F3163" w:rsidP="00DF78E8">
            <w:pPr>
              <w:contextualSpacing/>
            </w:pPr>
            <w:r w:rsidRPr="000D6D1F">
              <w:t>Scudder</w:t>
            </w:r>
          </w:p>
        </w:tc>
        <w:tc>
          <w:tcPr>
            <w:tcW w:w="3960" w:type="dxa"/>
          </w:tcPr>
          <w:p w:rsidR="004F3163" w:rsidRPr="009610A4" w:rsidRDefault="004F3163" w:rsidP="00DF78E8">
            <w:pPr>
              <w:contextualSpacing/>
            </w:pPr>
            <w:r w:rsidRPr="00A33658">
              <w:t>Pratt &amp; Whitney</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E656B3">
              <w:t>*</w:t>
            </w:r>
          </w:p>
        </w:tc>
        <w:tc>
          <w:tcPr>
            <w:tcW w:w="1555" w:type="dxa"/>
          </w:tcPr>
          <w:p w:rsidR="004F3163" w:rsidRPr="009610A4" w:rsidRDefault="004F3163" w:rsidP="00DF78E8">
            <w:pPr>
              <w:contextualSpacing/>
            </w:pPr>
            <w:r w:rsidRPr="000D6D1F">
              <w:t>Paul</w:t>
            </w:r>
          </w:p>
        </w:tc>
        <w:tc>
          <w:tcPr>
            <w:tcW w:w="1980" w:type="dxa"/>
          </w:tcPr>
          <w:p w:rsidR="004F3163" w:rsidRPr="009610A4" w:rsidRDefault="004F3163" w:rsidP="00DF78E8">
            <w:pPr>
              <w:contextualSpacing/>
            </w:pPr>
            <w:r w:rsidRPr="000D6D1F">
              <w:t>Slater</w:t>
            </w:r>
          </w:p>
        </w:tc>
        <w:tc>
          <w:tcPr>
            <w:tcW w:w="3960" w:type="dxa"/>
          </w:tcPr>
          <w:p w:rsidR="004F3163" w:rsidRPr="009610A4" w:rsidRDefault="004F3163" w:rsidP="00DF78E8">
            <w:pPr>
              <w:contextualSpacing/>
            </w:pPr>
            <w:r w:rsidRPr="00A33658">
              <w:t>Rockwell Collins</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0D6D1F">
              <w:t>Dennis</w:t>
            </w:r>
          </w:p>
        </w:tc>
        <w:tc>
          <w:tcPr>
            <w:tcW w:w="1980" w:type="dxa"/>
          </w:tcPr>
          <w:p w:rsidR="004F3163" w:rsidRPr="009610A4" w:rsidRDefault="004F3163" w:rsidP="002A69FD">
            <w:pPr>
              <w:contextualSpacing/>
            </w:pPr>
            <w:proofErr w:type="spellStart"/>
            <w:r w:rsidRPr="000D6D1F">
              <w:t>Slatton</w:t>
            </w:r>
            <w:proofErr w:type="spellEnd"/>
          </w:p>
        </w:tc>
        <w:tc>
          <w:tcPr>
            <w:tcW w:w="3960" w:type="dxa"/>
          </w:tcPr>
          <w:p w:rsidR="004F3163" w:rsidRPr="009610A4" w:rsidRDefault="004F3163" w:rsidP="002A69FD">
            <w:pPr>
              <w:contextualSpacing/>
            </w:pPr>
            <w:r w:rsidRPr="00A33658">
              <w:t>Bell Helicopter Textron</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0D6D1F">
              <w:t>Barry</w:t>
            </w:r>
          </w:p>
        </w:tc>
        <w:tc>
          <w:tcPr>
            <w:tcW w:w="1980" w:type="dxa"/>
          </w:tcPr>
          <w:p w:rsidR="004F3163" w:rsidRPr="009610A4" w:rsidRDefault="004F3163" w:rsidP="002A69FD">
            <w:pPr>
              <w:contextualSpacing/>
            </w:pPr>
            <w:proofErr w:type="spellStart"/>
            <w:r w:rsidRPr="000D6D1F">
              <w:t>Snitzer</w:t>
            </w:r>
            <w:proofErr w:type="spellEnd"/>
          </w:p>
        </w:tc>
        <w:tc>
          <w:tcPr>
            <w:tcW w:w="3960" w:type="dxa"/>
          </w:tcPr>
          <w:p w:rsidR="004F3163" w:rsidRPr="009610A4" w:rsidRDefault="004F3163" w:rsidP="002A69FD">
            <w:pPr>
              <w:contextualSpacing/>
            </w:pPr>
            <w:r w:rsidRPr="00A33658">
              <w:t>Rolls-Royce Corporation</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proofErr w:type="spellStart"/>
            <w:r w:rsidRPr="000D6D1F">
              <w:t>Ranganathan</w:t>
            </w:r>
            <w:proofErr w:type="spellEnd"/>
          </w:p>
        </w:tc>
        <w:tc>
          <w:tcPr>
            <w:tcW w:w="1980" w:type="dxa"/>
          </w:tcPr>
          <w:p w:rsidR="004F3163" w:rsidRPr="009610A4" w:rsidRDefault="004F3163" w:rsidP="002A69FD">
            <w:pPr>
              <w:contextualSpacing/>
            </w:pPr>
            <w:r w:rsidRPr="000D6D1F">
              <w:t>Srinivasan</w:t>
            </w:r>
          </w:p>
        </w:tc>
        <w:tc>
          <w:tcPr>
            <w:tcW w:w="3960" w:type="dxa"/>
          </w:tcPr>
          <w:p w:rsidR="004F3163" w:rsidRPr="009610A4" w:rsidRDefault="004F3163" w:rsidP="002A69FD">
            <w:pPr>
              <w:contextualSpacing/>
            </w:pPr>
            <w:r w:rsidRPr="00A33658">
              <w:t>ST Aerospace Ltd</w:t>
            </w:r>
            <w:r w:rsidR="003F4D59">
              <w:t>.</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DF78E8">
            <w:pPr>
              <w:contextualSpacing/>
            </w:pPr>
            <w:r w:rsidRPr="00EC25D6">
              <w:t>*</w:t>
            </w:r>
          </w:p>
        </w:tc>
        <w:tc>
          <w:tcPr>
            <w:tcW w:w="1555" w:type="dxa"/>
          </w:tcPr>
          <w:p w:rsidR="004F3163" w:rsidRPr="009610A4" w:rsidRDefault="004F3163" w:rsidP="00DF78E8">
            <w:pPr>
              <w:contextualSpacing/>
            </w:pPr>
            <w:r w:rsidRPr="000D6D1F">
              <w:t>Mariusz</w:t>
            </w:r>
          </w:p>
        </w:tc>
        <w:tc>
          <w:tcPr>
            <w:tcW w:w="1980" w:type="dxa"/>
          </w:tcPr>
          <w:p w:rsidR="004F3163" w:rsidRPr="009610A4" w:rsidRDefault="004F3163" w:rsidP="00DF78E8">
            <w:pPr>
              <w:contextualSpacing/>
            </w:pPr>
            <w:r w:rsidRPr="000D6D1F">
              <w:t>Stanczyk</w:t>
            </w:r>
          </w:p>
        </w:tc>
        <w:tc>
          <w:tcPr>
            <w:tcW w:w="3960" w:type="dxa"/>
          </w:tcPr>
          <w:p w:rsidR="004F3163" w:rsidRPr="009610A4" w:rsidRDefault="004F3163" w:rsidP="00DF78E8">
            <w:pPr>
              <w:contextualSpacing/>
            </w:pPr>
            <w:r w:rsidRPr="00A33658">
              <w:t>Lockheed Martin Aero</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EC25D6">
              <w:t>*</w:t>
            </w:r>
          </w:p>
        </w:tc>
        <w:tc>
          <w:tcPr>
            <w:tcW w:w="1555" w:type="dxa"/>
          </w:tcPr>
          <w:p w:rsidR="004F3163" w:rsidRPr="009610A4" w:rsidRDefault="004F3163" w:rsidP="00DF78E8">
            <w:pPr>
              <w:contextualSpacing/>
            </w:pPr>
            <w:r w:rsidRPr="000D6D1F">
              <w:t>Steven</w:t>
            </w:r>
          </w:p>
        </w:tc>
        <w:tc>
          <w:tcPr>
            <w:tcW w:w="1980" w:type="dxa"/>
          </w:tcPr>
          <w:p w:rsidR="004F3163" w:rsidRPr="009610A4" w:rsidRDefault="004F3163" w:rsidP="00DF78E8">
            <w:pPr>
              <w:contextualSpacing/>
            </w:pPr>
            <w:r w:rsidRPr="000D6D1F">
              <w:t>Starr</w:t>
            </w:r>
          </w:p>
        </w:tc>
        <w:tc>
          <w:tcPr>
            <w:tcW w:w="3960" w:type="dxa"/>
          </w:tcPr>
          <w:p w:rsidR="004F3163" w:rsidRPr="009610A4" w:rsidRDefault="004F3163" w:rsidP="00DF78E8">
            <w:pPr>
              <w:contextualSpacing/>
            </w:pPr>
            <w:r w:rsidRPr="00A33658">
              <w:t>Honeywell Aerospace</w:t>
            </w:r>
          </w:p>
        </w:tc>
        <w:tc>
          <w:tcPr>
            <w:tcW w:w="1775" w:type="dxa"/>
          </w:tcPr>
          <w:p w:rsidR="004F3163" w:rsidRDefault="004F3163" w:rsidP="00DF78E8">
            <w:pPr>
              <w:contextualSpacing/>
            </w:pPr>
          </w:p>
        </w:tc>
      </w:tr>
      <w:tr w:rsidR="004F3163" w:rsidRPr="009610A4" w:rsidTr="00627C25">
        <w:tc>
          <w:tcPr>
            <w:tcW w:w="378" w:type="dxa"/>
          </w:tcPr>
          <w:p w:rsidR="004F3163" w:rsidRDefault="004F3163" w:rsidP="00DF78E8">
            <w:pPr>
              <w:contextualSpacing/>
            </w:pPr>
            <w:r>
              <w:t>*</w:t>
            </w:r>
          </w:p>
        </w:tc>
        <w:tc>
          <w:tcPr>
            <w:tcW w:w="1555" w:type="dxa"/>
          </w:tcPr>
          <w:p w:rsidR="004F3163" w:rsidRPr="000D6D1F" w:rsidRDefault="004F3163" w:rsidP="00DF78E8">
            <w:pPr>
              <w:contextualSpacing/>
            </w:pPr>
            <w:r>
              <w:t>Mike</w:t>
            </w:r>
          </w:p>
        </w:tc>
        <w:tc>
          <w:tcPr>
            <w:tcW w:w="1980" w:type="dxa"/>
          </w:tcPr>
          <w:p w:rsidR="004F3163" w:rsidRPr="000D6D1F" w:rsidRDefault="004F3163" w:rsidP="00DF78E8">
            <w:pPr>
              <w:contextualSpacing/>
            </w:pPr>
            <w:r>
              <w:t>Stolze</w:t>
            </w:r>
          </w:p>
        </w:tc>
        <w:tc>
          <w:tcPr>
            <w:tcW w:w="3960" w:type="dxa"/>
          </w:tcPr>
          <w:p w:rsidR="004F3163" w:rsidRPr="00A33658" w:rsidRDefault="004F3163" w:rsidP="00DF78E8">
            <w:pPr>
              <w:contextualSpacing/>
            </w:pPr>
            <w:r>
              <w:t xml:space="preserve">Northrop </w:t>
            </w:r>
            <w:r w:rsidRPr="001804CF">
              <w:t>Grumman Corporation</w:t>
            </w:r>
          </w:p>
        </w:tc>
        <w:tc>
          <w:tcPr>
            <w:tcW w:w="1775" w:type="dxa"/>
          </w:tcPr>
          <w:p w:rsidR="004F3163" w:rsidRDefault="004F3163" w:rsidP="00DF78E8">
            <w:pPr>
              <w:contextualSpacing/>
            </w:pPr>
            <w:r>
              <w:t>Chairperson</w:t>
            </w:r>
          </w:p>
        </w:tc>
      </w:tr>
      <w:tr w:rsidR="004F3163" w:rsidRPr="009610A4" w:rsidTr="00627C25">
        <w:tc>
          <w:tcPr>
            <w:tcW w:w="378" w:type="dxa"/>
          </w:tcPr>
          <w:p w:rsidR="004F3163" w:rsidRDefault="004F3163" w:rsidP="00DF78E8">
            <w:pPr>
              <w:contextualSpacing/>
            </w:pPr>
            <w:r>
              <w:t>*</w:t>
            </w:r>
          </w:p>
        </w:tc>
        <w:tc>
          <w:tcPr>
            <w:tcW w:w="1555" w:type="dxa"/>
          </w:tcPr>
          <w:p w:rsidR="004F3163" w:rsidRDefault="004F3163" w:rsidP="00DF78E8">
            <w:pPr>
              <w:contextualSpacing/>
            </w:pPr>
            <w:proofErr w:type="spellStart"/>
            <w:r>
              <w:t>Yuhui</w:t>
            </w:r>
            <w:proofErr w:type="spellEnd"/>
          </w:p>
        </w:tc>
        <w:tc>
          <w:tcPr>
            <w:tcW w:w="1980" w:type="dxa"/>
          </w:tcPr>
          <w:p w:rsidR="004F3163" w:rsidRDefault="004F3163" w:rsidP="00DF78E8">
            <w:pPr>
              <w:contextualSpacing/>
            </w:pPr>
            <w:r>
              <w:t>Sun</w:t>
            </w:r>
          </w:p>
        </w:tc>
        <w:tc>
          <w:tcPr>
            <w:tcW w:w="3960" w:type="dxa"/>
          </w:tcPr>
          <w:p w:rsidR="004F3163" w:rsidRDefault="004F3163" w:rsidP="00DF78E8">
            <w:pPr>
              <w:contextualSpacing/>
            </w:pPr>
            <w:proofErr w:type="spellStart"/>
            <w:r>
              <w:t>Comac</w:t>
            </w:r>
            <w:proofErr w:type="spellEnd"/>
          </w:p>
        </w:tc>
        <w:tc>
          <w:tcPr>
            <w:tcW w:w="1775" w:type="dxa"/>
          </w:tcPr>
          <w:p w:rsidR="004F3163" w:rsidRDefault="004F3163" w:rsidP="00DF78E8">
            <w:pPr>
              <w:contextualSpacing/>
            </w:pPr>
          </w:p>
        </w:tc>
      </w:tr>
      <w:tr w:rsidR="004F3163" w:rsidRPr="009610A4" w:rsidTr="00C86C9F">
        <w:tc>
          <w:tcPr>
            <w:tcW w:w="378" w:type="dxa"/>
          </w:tcPr>
          <w:p w:rsidR="004F3163" w:rsidRDefault="004F3163" w:rsidP="002A69FD">
            <w:pPr>
              <w:contextualSpacing/>
            </w:pPr>
          </w:p>
        </w:tc>
        <w:tc>
          <w:tcPr>
            <w:tcW w:w="1555" w:type="dxa"/>
          </w:tcPr>
          <w:p w:rsidR="004F3163" w:rsidRPr="009610A4" w:rsidRDefault="004F3163" w:rsidP="002A69FD">
            <w:pPr>
              <w:contextualSpacing/>
            </w:pPr>
            <w:r w:rsidRPr="000D6D1F">
              <w:t>Stanley</w:t>
            </w:r>
          </w:p>
        </w:tc>
        <w:tc>
          <w:tcPr>
            <w:tcW w:w="1980" w:type="dxa"/>
          </w:tcPr>
          <w:p w:rsidR="004F3163" w:rsidRPr="009610A4" w:rsidRDefault="004F3163" w:rsidP="002A69FD">
            <w:pPr>
              <w:contextualSpacing/>
            </w:pPr>
            <w:r w:rsidRPr="000D6D1F">
              <w:t>Trull</w:t>
            </w:r>
          </w:p>
        </w:tc>
        <w:tc>
          <w:tcPr>
            <w:tcW w:w="3960" w:type="dxa"/>
          </w:tcPr>
          <w:p w:rsidR="004F3163" w:rsidRPr="009610A4" w:rsidRDefault="004F3163" w:rsidP="002A69FD">
            <w:pPr>
              <w:contextualSpacing/>
            </w:pPr>
            <w:r w:rsidRPr="00A33658">
              <w:t>Honeywell Aerospace</w:t>
            </w:r>
          </w:p>
        </w:tc>
        <w:tc>
          <w:tcPr>
            <w:tcW w:w="1775" w:type="dxa"/>
          </w:tcPr>
          <w:p w:rsidR="004F3163" w:rsidRDefault="004F3163" w:rsidP="002A69FD">
            <w:pPr>
              <w:contextualSpacing/>
            </w:pPr>
          </w:p>
        </w:tc>
      </w:tr>
      <w:tr w:rsidR="004F3163" w:rsidRPr="009610A4" w:rsidTr="00C86C9F">
        <w:tc>
          <w:tcPr>
            <w:tcW w:w="378" w:type="dxa"/>
          </w:tcPr>
          <w:p w:rsidR="004F3163" w:rsidRDefault="004F3163" w:rsidP="00DF78E8">
            <w:pPr>
              <w:contextualSpacing/>
            </w:pPr>
            <w:r w:rsidRPr="00F53DCE">
              <w:t>*</w:t>
            </w:r>
          </w:p>
        </w:tc>
        <w:tc>
          <w:tcPr>
            <w:tcW w:w="1555" w:type="dxa"/>
          </w:tcPr>
          <w:p w:rsidR="004F3163" w:rsidRPr="009610A4" w:rsidRDefault="004F3163" w:rsidP="00DF78E8">
            <w:pPr>
              <w:contextualSpacing/>
            </w:pPr>
            <w:r w:rsidRPr="000D6D1F">
              <w:t>Zia</w:t>
            </w:r>
          </w:p>
        </w:tc>
        <w:tc>
          <w:tcPr>
            <w:tcW w:w="1980" w:type="dxa"/>
          </w:tcPr>
          <w:p w:rsidR="004F3163" w:rsidRPr="009610A4" w:rsidRDefault="004F3163" w:rsidP="00DF78E8">
            <w:pPr>
              <w:contextualSpacing/>
            </w:pPr>
            <w:r w:rsidRPr="000D6D1F">
              <w:t>Usmani</w:t>
            </w:r>
          </w:p>
        </w:tc>
        <w:tc>
          <w:tcPr>
            <w:tcW w:w="3960" w:type="dxa"/>
          </w:tcPr>
          <w:p w:rsidR="004F3163" w:rsidRPr="009610A4" w:rsidRDefault="004F3163" w:rsidP="00DF78E8">
            <w:pPr>
              <w:contextualSpacing/>
            </w:pPr>
            <w:r w:rsidRPr="00A33658">
              <w:t>BAE Systems (MAI) UK</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F53DCE">
              <w:t>*</w:t>
            </w:r>
          </w:p>
        </w:tc>
        <w:tc>
          <w:tcPr>
            <w:tcW w:w="1555" w:type="dxa"/>
          </w:tcPr>
          <w:p w:rsidR="004F3163" w:rsidRPr="009610A4" w:rsidRDefault="004F3163" w:rsidP="00DF78E8">
            <w:pPr>
              <w:contextualSpacing/>
            </w:pPr>
            <w:r w:rsidRPr="000D6D1F">
              <w:t>Shawn</w:t>
            </w:r>
          </w:p>
        </w:tc>
        <w:tc>
          <w:tcPr>
            <w:tcW w:w="1980" w:type="dxa"/>
          </w:tcPr>
          <w:p w:rsidR="004F3163" w:rsidRPr="009610A4" w:rsidRDefault="004F3163" w:rsidP="00DF78E8">
            <w:pPr>
              <w:contextualSpacing/>
            </w:pPr>
            <w:r w:rsidRPr="000D6D1F">
              <w:t>Vierthaler</w:t>
            </w:r>
          </w:p>
        </w:tc>
        <w:tc>
          <w:tcPr>
            <w:tcW w:w="3960" w:type="dxa"/>
          </w:tcPr>
          <w:p w:rsidR="004F3163" w:rsidRPr="009610A4" w:rsidRDefault="004F3163" w:rsidP="00DF78E8">
            <w:pPr>
              <w:contextualSpacing/>
            </w:pPr>
            <w:r w:rsidRPr="00A33658">
              <w:t>Spirit AeroSystems</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DF78E8">
            <w:pPr>
              <w:contextualSpacing/>
            </w:pPr>
            <w:r w:rsidRPr="00F53DCE">
              <w:t>*</w:t>
            </w:r>
          </w:p>
        </w:tc>
        <w:tc>
          <w:tcPr>
            <w:tcW w:w="1555" w:type="dxa"/>
          </w:tcPr>
          <w:p w:rsidR="004F3163" w:rsidRPr="009610A4" w:rsidRDefault="004F3163" w:rsidP="00DF78E8">
            <w:pPr>
              <w:contextualSpacing/>
            </w:pPr>
            <w:r w:rsidRPr="000D6D1F">
              <w:t>Michael</w:t>
            </w:r>
          </w:p>
        </w:tc>
        <w:tc>
          <w:tcPr>
            <w:tcW w:w="1980" w:type="dxa"/>
          </w:tcPr>
          <w:p w:rsidR="004F3163" w:rsidRPr="009610A4" w:rsidRDefault="004F3163" w:rsidP="00DF78E8">
            <w:pPr>
              <w:contextualSpacing/>
            </w:pPr>
            <w:r w:rsidRPr="000D6D1F">
              <w:t>Vosatka</w:t>
            </w:r>
          </w:p>
        </w:tc>
        <w:tc>
          <w:tcPr>
            <w:tcW w:w="3960" w:type="dxa"/>
          </w:tcPr>
          <w:p w:rsidR="004F3163" w:rsidRPr="009610A4" w:rsidRDefault="004F3163" w:rsidP="00DF78E8">
            <w:pPr>
              <w:contextualSpacing/>
            </w:pPr>
            <w:r w:rsidRPr="00A33658">
              <w:t>Rockwell Collins</w:t>
            </w:r>
          </w:p>
        </w:tc>
        <w:tc>
          <w:tcPr>
            <w:tcW w:w="1775" w:type="dxa"/>
          </w:tcPr>
          <w:p w:rsidR="004F3163" w:rsidRDefault="004F3163" w:rsidP="00DF78E8">
            <w:pPr>
              <w:contextualSpacing/>
            </w:pPr>
          </w:p>
        </w:tc>
      </w:tr>
      <w:tr w:rsidR="004F3163" w:rsidRPr="009610A4" w:rsidTr="00C86C9F">
        <w:tc>
          <w:tcPr>
            <w:tcW w:w="378" w:type="dxa"/>
          </w:tcPr>
          <w:p w:rsidR="004F3163" w:rsidRDefault="004F3163" w:rsidP="002A69FD">
            <w:pPr>
              <w:contextualSpacing/>
            </w:pPr>
            <w:r>
              <w:t>*</w:t>
            </w:r>
          </w:p>
        </w:tc>
        <w:tc>
          <w:tcPr>
            <w:tcW w:w="1555" w:type="dxa"/>
          </w:tcPr>
          <w:p w:rsidR="004F3163" w:rsidRPr="009610A4" w:rsidRDefault="004F3163" w:rsidP="002A69FD">
            <w:pPr>
              <w:contextualSpacing/>
            </w:pPr>
            <w:r w:rsidRPr="000D6D1F">
              <w:t>Sergey</w:t>
            </w:r>
          </w:p>
        </w:tc>
        <w:tc>
          <w:tcPr>
            <w:tcW w:w="1980" w:type="dxa"/>
          </w:tcPr>
          <w:p w:rsidR="004F3163" w:rsidRPr="009610A4" w:rsidRDefault="004F3163" w:rsidP="002A69FD">
            <w:pPr>
              <w:contextualSpacing/>
            </w:pPr>
            <w:proofErr w:type="spellStart"/>
            <w:r w:rsidRPr="000D6D1F">
              <w:t>Yesilevich</w:t>
            </w:r>
            <w:proofErr w:type="spellEnd"/>
          </w:p>
        </w:tc>
        <w:tc>
          <w:tcPr>
            <w:tcW w:w="3960" w:type="dxa"/>
          </w:tcPr>
          <w:p w:rsidR="004F3163" w:rsidRPr="009610A4" w:rsidRDefault="004F3163" w:rsidP="002A69FD">
            <w:pPr>
              <w:contextualSpacing/>
            </w:pPr>
            <w:r w:rsidRPr="00A33658">
              <w:t>UTC Aerospace (Hamilton Sundstrand)</w:t>
            </w:r>
          </w:p>
        </w:tc>
        <w:tc>
          <w:tcPr>
            <w:tcW w:w="1775" w:type="dxa"/>
          </w:tcPr>
          <w:p w:rsidR="004F3163" w:rsidRDefault="004F3163" w:rsidP="002A69FD">
            <w:pPr>
              <w:contextualSpacing/>
            </w:pPr>
          </w:p>
        </w:tc>
      </w:tr>
    </w:tbl>
    <w:p w:rsidR="009610A4" w:rsidRPr="009610A4" w:rsidRDefault="009610A4" w:rsidP="009610A4">
      <w:pPr>
        <w:keepNext/>
        <w:spacing w:before="200"/>
        <w:ind w:left="709"/>
        <w:rPr>
          <w:b/>
          <w:i/>
          <w:u w:val="single"/>
        </w:rPr>
      </w:pPr>
      <w:r w:rsidRPr="009610A4">
        <w:rPr>
          <w:b/>
          <w:i/>
          <w:u w:val="single"/>
        </w:rPr>
        <w:t>Other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793"/>
        <w:gridCol w:w="1825"/>
        <w:gridCol w:w="3960"/>
        <w:gridCol w:w="1775"/>
      </w:tblGrid>
      <w:tr w:rsidR="00C86C9F" w:rsidRPr="009610A4" w:rsidDel="00E3448D" w:rsidTr="00C86C9F">
        <w:tc>
          <w:tcPr>
            <w:tcW w:w="295" w:type="dxa"/>
          </w:tcPr>
          <w:p w:rsidR="00C86C9F" w:rsidRPr="009610A4" w:rsidDel="00E3448D" w:rsidRDefault="00C86C9F" w:rsidP="00C86C9F">
            <w:pPr>
              <w:contextualSpacing/>
            </w:pPr>
          </w:p>
        </w:tc>
        <w:tc>
          <w:tcPr>
            <w:tcW w:w="1793" w:type="dxa"/>
          </w:tcPr>
          <w:p w:rsidR="00C86C9F" w:rsidRPr="009610A4" w:rsidDel="00E3448D" w:rsidRDefault="00C86C9F" w:rsidP="00C86C9F">
            <w:pPr>
              <w:contextualSpacing/>
            </w:pPr>
            <w:r w:rsidRPr="009610A4" w:rsidDel="00E3448D">
              <w:t>NAME</w:t>
            </w:r>
          </w:p>
        </w:tc>
        <w:tc>
          <w:tcPr>
            <w:tcW w:w="1825" w:type="dxa"/>
          </w:tcPr>
          <w:p w:rsidR="00C86C9F" w:rsidRPr="009610A4" w:rsidDel="00E3448D" w:rsidRDefault="00C86C9F" w:rsidP="00C86C9F">
            <w:pPr>
              <w:contextualSpacing/>
            </w:pPr>
          </w:p>
        </w:tc>
        <w:tc>
          <w:tcPr>
            <w:tcW w:w="3960" w:type="dxa"/>
          </w:tcPr>
          <w:p w:rsidR="00C86C9F" w:rsidRPr="009610A4" w:rsidDel="00E3448D" w:rsidRDefault="00C86C9F" w:rsidP="00C86C9F">
            <w:pPr>
              <w:contextualSpacing/>
            </w:pPr>
            <w:r w:rsidRPr="009610A4" w:rsidDel="00E3448D">
              <w:t>COMPANY NAME</w:t>
            </w:r>
          </w:p>
        </w:tc>
        <w:tc>
          <w:tcPr>
            <w:tcW w:w="1775" w:type="dxa"/>
          </w:tcPr>
          <w:p w:rsidR="00C86C9F" w:rsidRPr="009610A4" w:rsidDel="00E3448D" w:rsidRDefault="00C86C9F" w:rsidP="00C86C9F">
            <w:pPr>
              <w:contextualSpacing/>
            </w:pPr>
          </w:p>
        </w:tc>
      </w:tr>
      <w:tr w:rsidR="00C86C9F" w:rsidRPr="009610A4" w:rsidDel="00E3448D" w:rsidTr="00C86C9F">
        <w:tc>
          <w:tcPr>
            <w:tcW w:w="295" w:type="dxa"/>
          </w:tcPr>
          <w:p w:rsidR="00C86C9F" w:rsidRPr="009610A4" w:rsidDel="00E3448D" w:rsidRDefault="00C86C9F" w:rsidP="009610A4">
            <w:pPr>
              <w:contextualSpacing/>
            </w:pPr>
          </w:p>
        </w:tc>
        <w:tc>
          <w:tcPr>
            <w:tcW w:w="1793" w:type="dxa"/>
          </w:tcPr>
          <w:p w:rsidR="00C86C9F" w:rsidRPr="009610A4" w:rsidDel="00E3448D" w:rsidRDefault="00C86C9F" w:rsidP="009610A4">
            <w:pPr>
              <w:contextualSpacing/>
            </w:pPr>
          </w:p>
        </w:tc>
        <w:tc>
          <w:tcPr>
            <w:tcW w:w="1825" w:type="dxa"/>
          </w:tcPr>
          <w:p w:rsidR="00C86C9F" w:rsidRPr="009610A4" w:rsidDel="00E3448D" w:rsidRDefault="00C86C9F" w:rsidP="009610A4">
            <w:pPr>
              <w:contextualSpacing/>
            </w:pPr>
          </w:p>
        </w:tc>
        <w:tc>
          <w:tcPr>
            <w:tcW w:w="3960" w:type="dxa"/>
          </w:tcPr>
          <w:p w:rsidR="00C86C9F" w:rsidRPr="009610A4" w:rsidDel="00E3448D" w:rsidRDefault="00C86C9F" w:rsidP="009610A4">
            <w:pPr>
              <w:contextualSpacing/>
            </w:pPr>
          </w:p>
        </w:tc>
        <w:tc>
          <w:tcPr>
            <w:tcW w:w="1775" w:type="dxa"/>
          </w:tcPr>
          <w:p w:rsidR="00C86C9F" w:rsidRPr="009610A4" w:rsidDel="00E3448D" w:rsidRDefault="00C86C9F" w:rsidP="009610A4">
            <w:pPr>
              <w:contextualSpacing/>
            </w:pPr>
          </w:p>
        </w:tc>
      </w:tr>
      <w:tr w:rsidR="00C86C9F" w:rsidRPr="009610A4" w:rsidDel="00E3448D" w:rsidTr="00C86C9F">
        <w:tc>
          <w:tcPr>
            <w:tcW w:w="295" w:type="dxa"/>
          </w:tcPr>
          <w:p w:rsidR="00C86C9F" w:rsidRPr="009610A4" w:rsidDel="00E3448D" w:rsidRDefault="00C86C9F" w:rsidP="00482683">
            <w:pPr>
              <w:contextualSpacing/>
            </w:pPr>
            <w:r>
              <w:t>*</w:t>
            </w:r>
          </w:p>
        </w:tc>
        <w:tc>
          <w:tcPr>
            <w:tcW w:w="1793" w:type="dxa"/>
          </w:tcPr>
          <w:p w:rsidR="00C86C9F" w:rsidRPr="009610A4" w:rsidDel="00E3448D" w:rsidRDefault="00C86C9F" w:rsidP="00482683">
            <w:pPr>
              <w:contextualSpacing/>
            </w:pPr>
            <w:r w:rsidRPr="0084582F">
              <w:t>Mark</w:t>
            </w:r>
          </w:p>
        </w:tc>
        <w:tc>
          <w:tcPr>
            <w:tcW w:w="1825" w:type="dxa"/>
          </w:tcPr>
          <w:p w:rsidR="00C86C9F" w:rsidRPr="009610A4" w:rsidDel="00E3448D" w:rsidRDefault="00C86C9F" w:rsidP="00482683">
            <w:pPr>
              <w:contextualSpacing/>
            </w:pPr>
            <w:r w:rsidRPr="0084582F">
              <w:t>Airey</w:t>
            </w:r>
          </w:p>
        </w:tc>
        <w:tc>
          <w:tcPr>
            <w:tcW w:w="3960" w:type="dxa"/>
          </w:tcPr>
          <w:p w:rsidR="00C86C9F" w:rsidRPr="009610A4" w:rsidDel="00E3448D" w:rsidRDefault="00C86C9F" w:rsidP="00482683">
            <w:pPr>
              <w:contextualSpacing/>
            </w:pPr>
            <w:r w:rsidRPr="00041143">
              <w:t>Robert Stuart Ltd</w:t>
            </w:r>
            <w:r w:rsidR="008B7C70">
              <w:t>.</w:t>
            </w:r>
          </w:p>
        </w:tc>
        <w:tc>
          <w:tcPr>
            <w:tcW w:w="1775" w:type="dxa"/>
          </w:tcPr>
          <w:p w:rsidR="00C86C9F" w:rsidRPr="009610A4" w:rsidDel="00E3448D" w:rsidRDefault="00C86C9F" w:rsidP="00482683">
            <w:pPr>
              <w:contextualSpacing/>
            </w:pPr>
          </w:p>
        </w:tc>
      </w:tr>
      <w:tr w:rsidR="00C86C9F" w:rsidRPr="009610A4" w:rsidDel="00E3448D" w:rsidTr="007639EE">
        <w:tc>
          <w:tcPr>
            <w:tcW w:w="295" w:type="dxa"/>
          </w:tcPr>
          <w:p w:rsidR="00C86C9F" w:rsidRPr="009610A4" w:rsidDel="00E3448D" w:rsidRDefault="00C86C9F" w:rsidP="00482683">
            <w:pPr>
              <w:contextualSpacing/>
            </w:pPr>
          </w:p>
        </w:tc>
        <w:tc>
          <w:tcPr>
            <w:tcW w:w="1793" w:type="dxa"/>
          </w:tcPr>
          <w:p w:rsidR="00C86C9F" w:rsidRPr="009610A4" w:rsidDel="00E3448D" w:rsidRDefault="00C86C9F" w:rsidP="00482683">
            <w:pPr>
              <w:contextualSpacing/>
            </w:pPr>
            <w:r w:rsidRPr="0084582F">
              <w:t>Matthew</w:t>
            </w:r>
          </w:p>
        </w:tc>
        <w:tc>
          <w:tcPr>
            <w:tcW w:w="1825" w:type="dxa"/>
          </w:tcPr>
          <w:p w:rsidR="00C86C9F" w:rsidRPr="009610A4" w:rsidDel="00E3448D" w:rsidRDefault="00C86C9F" w:rsidP="00482683">
            <w:pPr>
              <w:contextualSpacing/>
            </w:pPr>
            <w:r w:rsidRPr="0084582F">
              <w:t>Akin</w:t>
            </w:r>
          </w:p>
        </w:tc>
        <w:tc>
          <w:tcPr>
            <w:tcW w:w="3960" w:type="dxa"/>
          </w:tcPr>
          <w:p w:rsidR="00C86C9F" w:rsidRPr="009610A4" w:rsidDel="00E3448D" w:rsidRDefault="00C86C9F" w:rsidP="00482683">
            <w:pPr>
              <w:contextualSpacing/>
            </w:pPr>
            <w:proofErr w:type="spellStart"/>
            <w:r w:rsidRPr="00041143">
              <w:t>TrueLogic</w:t>
            </w:r>
            <w:proofErr w:type="spellEnd"/>
            <w:r w:rsidRPr="00041143">
              <w:t xml:space="preserve"> Company, LLC</w:t>
            </w:r>
          </w:p>
        </w:tc>
        <w:tc>
          <w:tcPr>
            <w:tcW w:w="1775" w:type="dxa"/>
          </w:tcPr>
          <w:p w:rsidR="00C86C9F" w:rsidRPr="009610A4" w:rsidDel="00E3448D"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9610A4" w:rsidDel="00E3448D" w:rsidRDefault="00C86C9F" w:rsidP="00482683">
            <w:pPr>
              <w:contextualSpacing/>
            </w:pPr>
            <w:r w:rsidRPr="0084582F">
              <w:t>Daniel</w:t>
            </w:r>
          </w:p>
        </w:tc>
        <w:tc>
          <w:tcPr>
            <w:tcW w:w="1825" w:type="dxa"/>
          </w:tcPr>
          <w:p w:rsidR="00C86C9F" w:rsidRPr="009610A4" w:rsidDel="00E3448D" w:rsidRDefault="00C86C9F" w:rsidP="00482683">
            <w:pPr>
              <w:contextualSpacing/>
            </w:pPr>
            <w:r w:rsidRPr="0084582F">
              <w:t>Backus</w:t>
            </w:r>
          </w:p>
        </w:tc>
        <w:tc>
          <w:tcPr>
            <w:tcW w:w="3960" w:type="dxa"/>
          </w:tcPr>
          <w:p w:rsidR="00C86C9F" w:rsidRPr="009610A4" w:rsidDel="00E3448D" w:rsidRDefault="00C86C9F" w:rsidP="00482683">
            <w:pPr>
              <w:contextualSpacing/>
            </w:pPr>
            <w:proofErr w:type="spellStart"/>
            <w:r w:rsidRPr="00041143">
              <w:t>Har</w:t>
            </w:r>
            <w:proofErr w:type="spellEnd"/>
            <w:r w:rsidRPr="00041143">
              <w:t>-Conn Chrome</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9610A4" w:rsidDel="00E3448D" w:rsidRDefault="00C86C9F" w:rsidP="00482683">
            <w:pPr>
              <w:contextualSpacing/>
            </w:pPr>
            <w:r w:rsidRPr="0084582F">
              <w:t>Phillip</w:t>
            </w:r>
          </w:p>
        </w:tc>
        <w:tc>
          <w:tcPr>
            <w:tcW w:w="1825" w:type="dxa"/>
          </w:tcPr>
          <w:p w:rsidR="00C86C9F" w:rsidRPr="009610A4" w:rsidDel="00E3448D" w:rsidRDefault="00C86C9F" w:rsidP="00482683">
            <w:pPr>
              <w:contextualSpacing/>
            </w:pPr>
            <w:r w:rsidRPr="0084582F">
              <w:t>Brockman</w:t>
            </w:r>
          </w:p>
        </w:tc>
        <w:tc>
          <w:tcPr>
            <w:tcW w:w="3960" w:type="dxa"/>
          </w:tcPr>
          <w:p w:rsidR="00C86C9F" w:rsidRPr="009610A4" w:rsidDel="00E3448D" w:rsidRDefault="00C86C9F" w:rsidP="00482683">
            <w:pPr>
              <w:contextualSpacing/>
            </w:pPr>
            <w:proofErr w:type="spellStart"/>
            <w:r w:rsidRPr="00041143">
              <w:t>Techmetals</w:t>
            </w:r>
            <w:proofErr w:type="spellEnd"/>
            <w:r w:rsidRPr="00041143">
              <w:t>, Incorporated</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9610A4" w:rsidDel="00E3448D" w:rsidRDefault="00C86C9F" w:rsidP="00482683">
            <w:pPr>
              <w:contextualSpacing/>
            </w:pPr>
            <w:r w:rsidRPr="0084582F">
              <w:t>William</w:t>
            </w:r>
          </w:p>
        </w:tc>
        <w:tc>
          <w:tcPr>
            <w:tcW w:w="1825" w:type="dxa"/>
          </w:tcPr>
          <w:p w:rsidR="00C86C9F" w:rsidRPr="009610A4" w:rsidDel="00E3448D" w:rsidRDefault="00C86C9F" w:rsidP="00482683">
            <w:pPr>
              <w:contextualSpacing/>
            </w:pPr>
            <w:r w:rsidRPr="0084582F">
              <w:t>Calvert</w:t>
            </w:r>
          </w:p>
        </w:tc>
        <w:tc>
          <w:tcPr>
            <w:tcW w:w="3960" w:type="dxa"/>
          </w:tcPr>
          <w:p w:rsidR="00C86C9F" w:rsidRPr="009610A4" w:rsidDel="00E3448D" w:rsidRDefault="00C86C9F" w:rsidP="00482683">
            <w:pPr>
              <w:contextualSpacing/>
            </w:pPr>
            <w:r w:rsidRPr="00041143">
              <w:t>Calvert Consulting</w:t>
            </w:r>
          </w:p>
        </w:tc>
        <w:tc>
          <w:tcPr>
            <w:tcW w:w="1775" w:type="dxa"/>
          </w:tcPr>
          <w:p w:rsidR="00C86C9F" w:rsidRDefault="00C86C9F" w:rsidP="00482683">
            <w:pPr>
              <w:contextualSpacing/>
            </w:pPr>
          </w:p>
        </w:tc>
      </w:tr>
      <w:tr w:rsidR="00C86C9F" w:rsidRPr="009610A4" w:rsidDel="00E3448D" w:rsidTr="00C86C9F">
        <w:tc>
          <w:tcPr>
            <w:tcW w:w="295" w:type="dxa"/>
          </w:tcPr>
          <w:p w:rsidR="00C86C9F" w:rsidRDefault="00C86C9F" w:rsidP="0073526E">
            <w:pPr>
              <w:contextualSpacing/>
            </w:pPr>
          </w:p>
        </w:tc>
        <w:tc>
          <w:tcPr>
            <w:tcW w:w="1793" w:type="dxa"/>
            <w:vAlign w:val="center"/>
          </w:tcPr>
          <w:p w:rsidR="00C86C9F" w:rsidRPr="00864418" w:rsidRDefault="00C86C9F" w:rsidP="0073526E">
            <w:pPr>
              <w:contextualSpacing/>
            </w:pPr>
            <w:r>
              <w:rPr>
                <w:rFonts w:cs="Arial"/>
                <w:szCs w:val="20"/>
              </w:rPr>
              <w:t>Susana</w:t>
            </w:r>
          </w:p>
        </w:tc>
        <w:tc>
          <w:tcPr>
            <w:tcW w:w="1825" w:type="dxa"/>
            <w:vAlign w:val="center"/>
          </w:tcPr>
          <w:p w:rsidR="00C86C9F" w:rsidRPr="00864418" w:rsidRDefault="00C86C9F" w:rsidP="0073526E">
            <w:pPr>
              <w:contextualSpacing/>
            </w:pPr>
            <w:r>
              <w:rPr>
                <w:rFonts w:cs="Arial"/>
                <w:szCs w:val="20"/>
              </w:rPr>
              <w:t xml:space="preserve">Cano </w:t>
            </w:r>
            <w:proofErr w:type="spellStart"/>
            <w:r>
              <w:rPr>
                <w:rFonts w:cs="Arial"/>
                <w:szCs w:val="20"/>
              </w:rPr>
              <w:t>Peñlaver</w:t>
            </w:r>
            <w:proofErr w:type="spellEnd"/>
          </w:p>
        </w:tc>
        <w:tc>
          <w:tcPr>
            <w:tcW w:w="3960" w:type="dxa"/>
          </w:tcPr>
          <w:p w:rsidR="00C86C9F" w:rsidRPr="0073526E" w:rsidRDefault="00C86C9F" w:rsidP="0073526E">
            <w:pPr>
              <w:contextualSpacing/>
            </w:pPr>
            <w:r w:rsidRPr="0073526E">
              <w:t xml:space="preserve">Centro </w:t>
            </w:r>
            <w:proofErr w:type="spellStart"/>
            <w:r w:rsidRPr="0073526E">
              <w:t>Tratamientos</w:t>
            </w:r>
            <w:proofErr w:type="spellEnd"/>
            <w:r w:rsidRPr="0073526E">
              <w:t xml:space="preserve"> de </w:t>
            </w:r>
            <w:proofErr w:type="spellStart"/>
            <w:r w:rsidRPr="0073526E">
              <w:t>Superficie</w:t>
            </w:r>
            <w:proofErr w:type="spellEnd"/>
            <w:r w:rsidRPr="0073526E">
              <w:t xml:space="preserve">, </w:t>
            </w:r>
            <w:proofErr w:type="spellStart"/>
            <w:r w:rsidRPr="0073526E">
              <w:t>s.l.u</w:t>
            </w:r>
            <w:proofErr w:type="spellEnd"/>
            <w:r w:rsidRPr="0073526E">
              <w:t>.</w:t>
            </w:r>
          </w:p>
        </w:tc>
        <w:tc>
          <w:tcPr>
            <w:tcW w:w="1775" w:type="dxa"/>
          </w:tcPr>
          <w:p w:rsidR="00C86C9F" w:rsidRDefault="00C86C9F" w:rsidP="0073526E">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9610A4" w:rsidDel="00E3448D" w:rsidRDefault="00C86C9F" w:rsidP="00482683">
            <w:pPr>
              <w:contextualSpacing/>
            </w:pPr>
            <w:r w:rsidRPr="0084582F">
              <w:t>Stephane</w:t>
            </w:r>
          </w:p>
        </w:tc>
        <w:tc>
          <w:tcPr>
            <w:tcW w:w="1825" w:type="dxa"/>
          </w:tcPr>
          <w:p w:rsidR="00C86C9F" w:rsidRPr="009610A4" w:rsidDel="00E3448D" w:rsidRDefault="00C86C9F" w:rsidP="00482683">
            <w:pPr>
              <w:contextualSpacing/>
            </w:pPr>
            <w:proofErr w:type="spellStart"/>
            <w:r w:rsidRPr="0084582F">
              <w:t>Chaumeil</w:t>
            </w:r>
            <w:proofErr w:type="spellEnd"/>
          </w:p>
        </w:tc>
        <w:tc>
          <w:tcPr>
            <w:tcW w:w="3960" w:type="dxa"/>
          </w:tcPr>
          <w:p w:rsidR="00C86C9F" w:rsidRPr="009610A4" w:rsidDel="00E3448D" w:rsidRDefault="00C86C9F" w:rsidP="00482683">
            <w:pPr>
              <w:contextualSpacing/>
            </w:pPr>
            <w:r w:rsidRPr="00041143">
              <w:t>Galion</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84582F" w:rsidRDefault="00C86C9F" w:rsidP="00482683">
            <w:pPr>
              <w:contextualSpacing/>
            </w:pPr>
            <w:r>
              <w:t>Neil</w:t>
            </w:r>
          </w:p>
        </w:tc>
        <w:tc>
          <w:tcPr>
            <w:tcW w:w="1825" w:type="dxa"/>
          </w:tcPr>
          <w:p w:rsidR="00C86C9F" w:rsidRPr="0084582F" w:rsidRDefault="00C86C9F" w:rsidP="00482683">
            <w:pPr>
              <w:contextualSpacing/>
            </w:pPr>
            <w:r>
              <w:t>Cowan</w:t>
            </w:r>
          </w:p>
        </w:tc>
        <w:tc>
          <w:tcPr>
            <w:tcW w:w="3960" w:type="dxa"/>
          </w:tcPr>
          <w:p w:rsidR="00C86C9F" w:rsidRPr="00041143" w:rsidRDefault="00C86C9F" w:rsidP="00482683">
            <w:pPr>
              <w:contextualSpacing/>
            </w:pPr>
            <w:r>
              <w:t>PRI/Nadcap Auditor</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9610A4" w:rsidDel="00E3448D" w:rsidRDefault="00C86C9F" w:rsidP="00482683">
            <w:pPr>
              <w:contextualSpacing/>
            </w:pPr>
            <w:r w:rsidRPr="0084582F">
              <w:t>Jim</w:t>
            </w:r>
          </w:p>
        </w:tc>
        <w:tc>
          <w:tcPr>
            <w:tcW w:w="1825" w:type="dxa"/>
          </w:tcPr>
          <w:p w:rsidR="00C86C9F" w:rsidRPr="009610A4" w:rsidDel="00E3448D" w:rsidRDefault="00C86C9F" w:rsidP="00482683">
            <w:pPr>
              <w:contextualSpacing/>
            </w:pPr>
            <w:r w:rsidRPr="0084582F">
              <w:t>Cummings</w:t>
            </w:r>
          </w:p>
        </w:tc>
        <w:tc>
          <w:tcPr>
            <w:tcW w:w="3960" w:type="dxa"/>
          </w:tcPr>
          <w:p w:rsidR="00C86C9F" w:rsidRPr="009610A4" w:rsidDel="00E3448D" w:rsidRDefault="00C86C9F" w:rsidP="00482683">
            <w:pPr>
              <w:contextualSpacing/>
            </w:pPr>
            <w:r w:rsidRPr="00041143">
              <w:t>Metal Finishing Company Inc.</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9610A4" w:rsidDel="00E3448D" w:rsidRDefault="00C86C9F" w:rsidP="00482683">
            <w:pPr>
              <w:contextualSpacing/>
            </w:pPr>
            <w:r w:rsidRPr="0084582F">
              <w:t>David</w:t>
            </w:r>
          </w:p>
        </w:tc>
        <w:tc>
          <w:tcPr>
            <w:tcW w:w="1825" w:type="dxa"/>
          </w:tcPr>
          <w:p w:rsidR="00C86C9F" w:rsidRPr="009610A4" w:rsidDel="00E3448D" w:rsidRDefault="00C86C9F" w:rsidP="00482683">
            <w:pPr>
              <w:contextualSpacing/>
            </w:pPr>
            <w:r w:rsidRPr="0084582F">
              <w:t>Curry</w:t>
            </w:r>
          </w:p>
        </w:tc>
        <w:tc>
          <w:tcPr>
            <w:tcW w:w="3960" w:type="dxa"/>
          </w:tcPr>
          <w:p w:rsidR="00C86C9F" w:rsidRPr="009610A4" w:rsidDel="00E3448D" w:rsidRDefault="00C86C9F" w:rsidP="00482683">
            <w:pPr>
              <w:contextualSpacing/>
            </w:pPr>
            <w:r w:rsidRPr="00041143">
              <w:t>Tewkesbury (Diamond Chrome) Plating Co Ltd</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9610A4" w:rsidDel="00E3448D" w:rsidRDefault="00C86C9F" w:rsidP="00482683">
            <w:pPr>
              <w:contextualSpacing/>
            </w:pPr>
            <w:proofErr w:type="spellStart"/>
            <w:r w:rsidRPr="0084582F">
              <w:t>Sebongile</w:t>
            </w:r>
            <w:proofErr w:type="spellEnd"/>
            <w:r w:rsidRPr="0084582F">
              <w:t xml:space="preserve"> Portia</w:t>
            </w:r>
          </w:p>
        </w:tc>
        <w:tc>
          <w:tcPr>
            <w:tcW w:w="1825" w:type="dxa"/>
          </w:tcPr>
          <w:p w:rsidR="00C86C9F" w:rsidRPr="009610A4" w:rsidDel="00E3448D" w:rsidRDefault="00C86C9F" w:rsidP="00482683">
            <w:pPr>
              <w:contextualSpacing/>
            </w:pPr>
            <w:proofErr w:type="spellStart"/>
            <w:r w:rsidRPr="0084582F">
              <w:t>Ditsele</w:t>
            </w:r>
            <w:proofErr w:type="spellEnd"/>
          </w:p>
        </w:tc>
        <w:tc>
          <w:tcPr>
            <w:tcW w:w="3960" w:type="dxa"/>
          </w:tcPr>
          <w:p w:rsidR="00C86C9F" w:rsidRPr="009610A4" w:rsidDel="00E3448D" w:rsidRDefault="00C86C9F" w:rsidP="00482683">
            <w:pPr>
              <w:contextualSpacing/>
            </w:pPr>
            <w:r w:rsidRPr="00041143">
              <w:t xml:space="preserve">Denel </w:t>
            </w:r>
            <w:proofErr w:type="spellStart"/>
            <w:r w:rsidRPr="00041143">
              <w:t>Aerostructures</w:t>
            </w:r>
            <w:proofErr w:type="spellEnd"/>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Bill</w:t>
            </w:r>
          </w:p>
        </w:tc>
        <w:tc>
          <w:tcPr>
            <w:tcW w:w="1825" w:type="dxa"/>
          </w:tcPr>
          <w:p w:rsidR="00C86C9F" w:rsidRPr="007C1B29" w:rsidRDefault="00C86C9F" w:rsidP="00482683">
            <w:pPr>
              <w:contextualSpacing/>
            </w:pPr>
            <w:r w:rsidRPr="0084582F">
              <w:t>Dumas</w:t>
            </w:r>
          </w:p>
        </w:tc>
        <w:tc>
          <w:tcPr>
            <w:tcW w:w="3960" w:type="dxa"/>
          </w:tcPr>
          <w:p w:rsidR="00C86C9F" w:rsidRPr="009610A4" w:rsidDel="00E3448D" w:rsidRDefault="00C86C9F" w:rsidP="00482683">
            <w:pPr>
              <w:contextualSpacing/>
            </w:pPr>
            <w:r w:rsidRPr="00041143">
              <w:t>Performance Review Institute</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9610A4" w:rsidDel="00E3448D" w:rsidRDefault="00C86C9F" w:rsidP="00482683">
            <w:pPr>
              <w:contextualSpacing/>
            </w:pPr>
            <w:r w:rsidRPr="0084582F">
              <w:t>Alex</w:t>
            </w:r>
          </w:p>
        </w:tc>
        <w:tc>
          <w:tcPr>
            <w:tcW w:w="1825" w:type="dxa"/>
          </w:tcPr>
          <w:p w:rsidR="00C86C9F" w:rsidRPr="009610A4" w:rsidDel="00E3448D" w:rsidRDefault="00C86C9F" w:rsidP="00482683">
            <w:pPr>
              <w:contextualSpacing/>
            </w:pPr>
            <w:r w:rsidRPr="0084582F">
              <w:t>French</w:t>
            </w:r>
          </w:p>
        </w:tc>
        <w:tc>
          <w:tcPr>
            <w:tcW w:w="3960" w:type="dxa"/>
          </w:tcPr>
          <w:p w:rsidR="00C86C9F" w:rsidRPr="009610A4" w:rsidDel="00E3448D" w:rsidRDefault="00C86C9F" w:rsidP="00482683">
            <w:pPr>
              <w:contextualSpacing/>
            </w:pPr>
            <w:proofErr w:type="spellStart"/>
            <w:r w:rsidRPr="00041143">
              <w:t>Aerofin</w:t>
            </w:r>
            <w:proofErr w:type="spellEnd"/>
            <w:r w:rsidRPr="00041143">
              <w:t xml:space="preserve"> Laboratories Ltd</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9610A4" w:rsidDel="00E3448D" w:rsidRDefault="00C86C9F" w:rsidP="00482683">
            <w:pPr>
              <w:contextualSpacing/>
            </w:pPr>
            <w:r w:rsidRPr="0084582F">
              <w:t>Paul</w:t>
            </w:r>
          </w:p>
        </w:tc>
        <w:tc>
          <w:tcPr>
            <w:tcW w:w="1825" w:type="dxa"/>
          </w:tcPr>
          <w:p w:rsidR="00C86C9F" w:rsidRPr="009610A4" w:rsidDel="00E3448D" w:rsidRDefault="00C86C9F" w:rsidP="00482683">
            <w:pPr>
              <w:contextualSpacing/>
            </w:pPr>
            <w:r w:rsidRPr="0084582F">
              <w:t>French</w:t>
            </w:r>
          </w:p>
        </w:tc>
        <w:tc>
          <w:tcPr>
            <w:tcW w:w="3960" w:type="dxa"/>
          </w:tcPr>
          <w:p w:rsidR="00C86C9F" w:rsidRPr="009610A4" w:rsidDel="00E3448D" w:rsidRDefault="00C86C9F" w:rsidP="00482683">
            <w:pPr>
              <w:contextualSpacing/>
            </w:pPr>
            <w:proofErr w:type="spellStart"/>
            <w:r w:rsidRPr="00041143">
              <w:t>Aerofin</w:t>
            </w:r>
            <w:proofErr w:type="spellEnd"/>
            <w:r w:rsidRPr="00041143">
              <w:t xml:space="preserve"> Laboratories Ltd</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9610A4" w:rsidDel="00E3448D" w:rsidRDefault="00C86C9F" w:rsidP="00482683">
            <w:pPr>
              <w:contextualSpacing/>
            </w:pPr>
            <w:r w:rsidRPr="0084582F">
              <w:t>Thomas</w:t>
            </w:r>
          </w:p>
        </w:tc>
        <w:tc>
          <w:tcPr>
            <w:tcW w:w="1825" w:type="dxa"/>
          </w:tcPr>
          <w:p w:rsidR="00C86C9F" w:rsidRPr="009610A4" w:rsidDel="00E3448D" w:rsidRDefault="00C86C9F" w:rsidP="00482683">
            <w:pPr>
              <w:contextualSpacing/>
            </w:pPr>
            <w:proofErr w:type="spellStart"/>
            <w:r w:rsidRPr="0084582F">
              <w:t>Kastranek</w:t>
            </w:r>
            <w:proofErr w:type="spellEnd"/>
          </w:p>
        </w:tc>
        <w:tc>
          <w:tcPr>
            <w:tcW w:w="3960" w:type="dxa"/>
          </w:tcPr>
          <w:p w:rsidR="00C86C9F" w:rsidRPr="009610A4" w:rsidDel="00E3448D" w:rsidRDefault="00C86C9F" w:rsidP="00482683">
            <w:pPr>
              <w:contextualSpacing/>
            </w:pPr>
            <w:r w:rsidRPr="00041143">
              <w:t>Otto Fuchs KG</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9610A4" w:rsidDel="00E3448D" w:rsidRDefault="00C86C9F" w:rsidP="00482683">
            <w:pPr>
              <w:contextualSpacing/>
            </w:pPr>
            <w:r w:rsidRPr="0084582F">
              <w:t>Eva</w:t>
            </w:r>
          </w:p>
        </w:tc>
        <w:tc>
          <w:tcPr>
            <w:tcW w:w="1825" w:type="dxa"/>
          </w:tcPr>
          <w:p w:rsidR="00C86C9F" w:rsidRPr="009610A4" w:rsidDel="00E3448D" w:rsidRDefault="00C86C9F" w:rsidP="00482683">
            <w:pPr>
              <w:contextualSpacing/>
            </w:pPr>
            <w:r w:rsidRPr="0084582F">
              <w:t>Klein</w:t>
            </w:r>
          </w:p>
        </w:tc>
        <w:tc>
          <w:tcPr>
            <w:tcW w:w="3960" w:type="dxa"/>
          </w:tcPr>
          <w:p w:rsidR="00C86C9F" w:rsidRPr="009610A4" w:rsidDel="00E3448D" w:rsidRDefault="00C86C9F" w:rsidP="00482683">
            <w:pPr>
              <w:contextualSpacing/>
            </w:pPr>
            <w:r w:rsidRPr="00041143">
              <w:t>Blades Technology Ltd</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73526E">
            <w:pPr>
              <w:contextualSpacing/>
            </w:pPr>
          </w:p>
        </w:tc>
        <w:tc>
          <w:tcPr>
            <w:tcW w:w="1793" w:type="dxa"/>
          </w:tcPr>
          <w:p w:rsidR="00C86C9F" w:rsidRPr="0084582F" w:rsidRDefault="00C86C9F" w:rsidP="0073526E">
            <w:pPr>
              <w:contextualSpacing/>
            </w:pPr>
            <w:r w:rsidRPr="00864418">
              <w:t>Eva</w:t>
            </w:r>
          </w:p>
        </w:tc>
        <w:tc>
          <w:tcPr>
            <w:tcW w:w="1825" w:type="dxa"/>
          </w:tcPr>
          <w:p w:rsidR="00C86C9F" w:rsidRPr="0084582F" w:rsidRDefault="00C86C9F" w:rsidP="0073526E">
            <w:pPr>
              <w:contextualSpacing/>
            </w:pPr>
            <w:r w:rsidRPr="00864418">
              <w:t>Klein</w:t>
            </w:r>
          </w:p>
        </w:tc>
        <w:tc>
          <w:tcPr>
            <w:tcW w:w="3960" w:type="dxa"/>
          </w:tcPr>
          <w:p w:rsidR="00C86C9F" w:rsidRPr="00041143" w:rsidRDefault="00C86C9F" w:rsidP="0073526E">
            <w:pPr>
              <w:contextualSpacing/>
            </w:pPr>
            <w:r w:rsidRPr="0073526E">
              <w:t>Blades Technology Ltd</w:t>
            </w:r>
            <w:r w:rsidR="008B7C70">
              <w:t>.</w:t>
            </w:r>
          </w:p>
        </w:tc>
        <w:tc>
          <w:tcPr>
            <w:tcW w:w="1775" w:type="dxa"/>
          </w:tcPr>
          <w:p w:rsidR="00C86C9F" w:rsidRDefault="00C86C9F" w:rsidP="0073526E">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7C1B29" w:rsidRDefault="00C86C9F" w:rsidP="00482683">
            <w:pPr>
              <w:contextualSpacing/>
            </w:pPr>
            <w:r w:rsidRPr="0084582F">
              <w:t>Rosa</w:t>
            </w:r>
          </w:p>
        </w:tc>
        <w:tc>
          <w:tcPr>
            <w:tcW w:w="1825" w:type="dxa"/>
          </w:tcPr>
          <w:p w:rsidR="00C86C9F" w:rsidRPr="007C1B29" w:rsidRDefault="00C86C9F" w:rsidP="00482683">
            <w:pPr>
              <w:contextualSpacing/>
            </w:pPr>
            <w:r w:rsidRPr="0084582F">
              <w:t>Martin</w:t>
            </w:r>
          </w:p>
        </w:tc>
        <w:tc>
          <w:tcPr>
            <w:tcW w:w="3960" w:type="dxa"/>
          </w:tcPr>
          <w:p w:rsidR="00C86C9F" w:rsidRPr="009610A4" w:rsidDel="00E3448D" w:rsidRDefault="00C86C9F" w:rsidP="00482683">
            <w:pPr>
              <w:contextualSpacing/>
            </w:pPr>
            <w:r w:rsidRPr="00041143">
              <w:t>Superior Plating</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Ian</w:t>
            </w:r>
          </w:p>
        </w:tc>
        <w:tc>
          <w:tcPr>
            <w:tcW w:w="1825" w:type="dxa"/>
          </w:tcPr>
          <w:p w:rsidR="00C86C9F" w:rsidRPr="007C1B29" w:rsidRDefault="00C86C9F" w:rsidP="00482683">
            <w:pPr>
              <w:contextualSpacing/>
            </w:pPr>
            <w:r w:rsidRPr="0084582F">
              <w:t>McDonald</w:t>
            </w:r>
          </w:p>
        </w:tc>
        <w:tc>
          <w:tcPr>
            <w:tcW w:w="3960" w:type="dxa"/>
          </w:tcPr>
          <w:p w:rsidR="00C86C9F" w:rsidRPr="009610A4" w:rsidDel="00E3448D" w:rsidRDefault="00C86C9F" w:rsidP="00482683">
            <w:pPr>
              <w:contextualSpacing/>
            </w:pPr>
            <w:r w:rsidRPr="00041143">
              <w:t>Robert Stuart</w:t>
            </w:r>
            <w:r w:rsidR="008B7C70">
              <w:t xml:space="preserve"> </w:t>
            </w:r>
            <w:r w:rsidRPr="00041143">
              <w:t>Ltd</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7C1B29" w:rsidRDefault="00C86C9F" w:rsidP="00482683">
            <w:pPr>
              <w:contextualSpacing/>
            </w:pPr>
            <w:r w:rsidRPr="0084582F">
              <w:t>Julie</w:t>
            </w:r>
          </w:p>
        </w:tc>
        <w:tc>
          <w:tcPr>
            <w:tcW w:w="1825" w:type="dxa"/>
          </w:tcPr>
          <w:p w:rsidR="00C86C9F" w:rsidRPr="007C1B29" w:rsidRDefault="00C86C9F" w:rsidP="00482683">
            <w:pPr>
              <w:contextualSpacing/>
            </w:pPr>
            <w:r w:rsidRPr="0084582F">
              <w:t>Nguyen</w:t>
            </w:r>
          </w:p>
        </w:tc>
        <w:tc>
          <w:tcPr>
            <w:tcW w:w="3960" w:type="dxa"/>
          </w:tcPr>
          <w:p w:rsidR="00C86C9F" w:rsidRPr="009610A4" w:rsidDel="00E3448D" w:rsidRDefault="00C86C9F" w:rsidP="00482683">
            <w:pPr>
              <w:contextualSpacing/>
            </w:pPr>
            <w:r w:rsidRPr="00041143">
              <w:t>Element Materials Technology - Rancho Dominguez</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7C1B29" w:rsidRDefault="00C86C9F" w:rsidP="00482683">
            <w:pPr>
              <w:contextualSpacing/>
            </w:pPr>
            <w:r w:rsidRPr="0084582F">
              <w:t>Mike</w:t>
            </w:r>
          </w:p>
        </w:tc>
        <w:tc>
          <w:tcPr>
            <w:tcW w:w="1825" w:type="dxa"/>
          </w:tcPr>
          <w:p w:rsidR="00C86C9F" w:rsidRPr="007C1B29" w:rsidRDefault="00C86C9F" w:rsidP="00482683">
            <w:pPr>
              <w:contextualSpacing/>
            </w:pPr>
            <w:proofErr w:type="spellStart"/>
            <w:r w:rsidRPr="0084582F">
              <w:t>Noettl</w:t>
            </w:r>
            <w:proofErr w:type="spellEnd"/>
          </w:p>
        </w:tc>
        <w:tc>
          <w:tcPr>
            <w:tcW w:w="3960" w:type="dxa"/>
          </w:tcPr>
          <w:p w:rsidR="00C86C9F" w:rsidRPr="009610A4" w:rsidDel="00E3448D" w:rsidRDefault="00C86C9F" w:rsidP="00482683">
            <w:pPr>
              <w:contextualSpacing/>
            </w:pPr>
            <w:r w:rsidRPr="00041143">
              <w:t>Magnetic Inspection Laboratory Inc.</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Patrick</w:t>
            </w:r>
          </w:p>
        </w:tc>
        <w:tc>
          <w:tcPr>
            <w:tcW w:w="1825" w:type="dxa"/>
          </w:tcPr>
          <w:p w:rsidR="00C86C9F" w:rsidRPr="007C1B29" w:rsidRDefault="00C86C9F" w:rsidP="00482683">
            <w:pPr>
              <w:contextualSpacing/>
            </w:pPr>
            <w:r w:rsidRPr="0084582F">
              <w:t>O'Leary</w:t>
            </w:r>
          </w:p>
        </w:tc>
        <w:tc>
          <w:tcPr>
            <w:tcW w:w="3960" w:type="dxa"/>
          </w:tcPr>
          <w:p w:rsidR="00C86C9F" w:rsidRPr="009610A4" w:rsidDel="00E3448D" w:rsidRDefault="00C86C9F" w:rsidP="00482683">
            <w:pPr>
              <w:contextualSpacing/>
            </w:pPr>
            <w:r w:rsidRPr="00041143">
              <w:t>NU-PRO Ltd</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Javier</w:t>
            </w:r>
          </w:p>
        </w:tc>
        <w:tc>
          <w:tcPr>
            <w:tcW w:w="1825" w:type="dxa"/>
          </w:tcPr>
          <w:p w:rsidR="00C86C9F" w:rsidRPr="007C1B29" w:rsidRDefault="00C86C9F" w:rsidP="00482683">
            <w:pPr>
              <w:contextualSpacing/>
            </w:pPr>
            <w:r w:rsidRPr="0084582F">
              <w:t>Orts</w:t>
            </w:r>
          </w:p>
        </w:tc>
        <w:tc>
          <w:tcPr>
            <w:tcW w:w="3960" w:type="dxa"/>
          </w:tcPr>
          <w:p w:rsidR="00C86C9F" w:rsidRPr="009610A4" w:rsidDel="00E3448D" w:rsidRDefault="00C86C9F" w:rsidP="00482683">
            <w:pPr>
              <w:contextualSpacing/>
            </w:pPr>
            <w:proofErr w:type="spellStart"/>
            <w:r w:rsidRPr="00041143">
              <w:t>Mecanizados</w:t>
            </w:r>
            <w:proofErr w:type="spellEnd"/>
            <w:r w:rsidRPr="00041143">
              <w:t xml:space="preserve"> </w:t>
            </w:r>
            <w:proofErr w:type="spellStart"/>
            <w:r w:rsidRPr="00041143">
              <w:t>Escribano</w:t>
            </w:r>
            <w:proofErr w:type="spellEnd"/>
            <w:r w:rsidRPr="00041143">
              <w:t xml:space="preserve"> SL</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Lee</w:t>
            </w:r>
          </w:p>
        </w:tc>
        <w:tc>
          <w:tcPr>
            <w:tcW w:w="1825" w:type="dxa"/>
          </w:tcPr>
          <w:p w:rsidR="00C86C9F" w:rsidRPr="007C1B29" w:rsidRDefault="00C86C9F" w:rsidP="00482683">
            <w:pPr>
              <w:contextualSpacing/>
            </w:pPr>
            <w:r w:rsidRPr="0084582F">
              <w:t>Parsley</w:t>
            </w:r>
          </w:p>
        </w:tc>
        <w:tc>
          <w:tcPr>
            <w:tcW w:w="3960" w:type="dxa"/>
          </w:tcPr>
          <w:p w:rsidR="00C86C9F" w:rsidRPr="009610A4" w:rsidDel="00E3448D" w:rsidRDefault="00C86C9F" w:rsidP="00482683">
            <w:pPr>
              <w:contextualSpacing/>
            </w:pPr>
            <w:r w:rsidRPr="00041143">
              <w:t>Click Bond, Inc</w:t>
            </w:r>
            <w:r w:rsidR="008B7C70">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Hector</w:t>
            </w:r>
          </w:p>
        </w:tc>
        <w:tc>
          <w:tcPr>
            <w:tcW w:w="1825" w:type="dxa"/>
          </w:tcPr>
          <w:p w:rsidR="00C86C9F" w:rsidRPr="007C1B29" w:rsidRDefault="00C86C9F" w:rsidP="00482683">
            <w:pPr>
              <w:contextualSpacing/>
            </w:pPr>
            <w:proofErr w:type="spellStart"/>
            <w:r w:rsidRPr="0084582F">
              <w:t>Pichardo</w:t>
            </w:r>
            <w:proofErr w:type="spellEnd"/>
          </w:p>
        </w:tc>
        <w:tc>
          <w:tcPr>
            <w:tcW w:w="3960" w:type="dxa"/>
          </w:tcPr>
          <w:p w:rsidR="00C86C9F" w:rsidRPr="009610A4" w:rsidDel="00E3448D" w:rsidRDefault="00C86C9F" w:rsidP="00482683">
            <w:pPr>
              <w:contextualSpacing/>
            </w:pPr>
            <w:r w:rsidRPr="00041143">
              <w:t>Curtiss Wright Controls</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José Manuel</w:t>
            </w:r>
          </w:p>
        </w:tc>
        <w:tc>
          <w:tcPr>
            <w:tcW w:w="1825" w:type="dxa"/>
          </w:tcPr>
          <w:p w:rsidR="00C86C9F" w:rsidRPr="007C1B29" w:rsidRDefault="00C86C9F" w:rsidP="00482683">
            <w:pPr>
              <w:contextualSpacing/>
            </w:pPr>
            <w:r w:rsidRPr="0084582F">
              <w:t xml:space="preserve">Rodríguez </w:t>
            </w:r>
            <w:proofErr w:type="spellStart"/>
            <w:r w:rsidRPr="0084582F">
              <w:t>Gámez</w:t>
            </w:r>
            <w:proofErr w:type="spellEnd"/>
          </w:p>
        </w:tc>
        <w:tc>
          <w:tcPr>
            <w:tcW w:w="3960" w:type="dxa"/>
          </w:tcPr>
          <w:p w:rsidR="00C86C9F" w:rsidRPr="009610A4" w:rsidDel="00E3448D" w:rsidRDefault="00C86C9F" w:rsidP="00482683">
            <w:pPr>
              <w:contextualSpacing/>
            </w:pPr>
            <w:r w:rsidRPr="00041143">
              <w:t xml:space="preserve">Centro </w:t>
            </w:r>
            <w:proofErr w:type="spellStart"/>
            <w:r w:rsidRPr="00041143">
              <w:t>Tratamientos</w:t>
            </w:r>
            <w:proofErr w:type="spellEnd"/>
            <w:r w:rsidRPr="00041143">
              <w:t xml:space="preserve"> de </w:t>
            </w:r>
            <w:proofErr w:type="spellStart"/>
            <w:r w:rsidRPr="00041143">
              <w:t>Superficie</w:t>
            </w:r>
            <w:proofErr w:type="spellEnd"/>
            <w:r w:rsidRPr="00041143">
              <w:t xml:space="preserve">, </w:t>
            </w:r>
            <w:proofErr w:type="spellStart"/>
            <w:r w:rsidRPr="00041143">
              <w:t>s.l.u</w:t>
            </w:r>
            <w:proofErr w:type="spellEnd"/>
            <w:r w:rsidRPr="00041143">
              <w:t>.</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7C1B29" w:rsidRDefault="00C86C9F" w:rsidP="00482683">
            <w:pPr>
              <w:contextualSpacing/>
            </w:pPr>
            <w:r w:rsidRPr="0084582F">
              <w:t>Tammi</w:t>
            </w:r>
          </w:p>
        </w:tc>
        <w:tc>
          <w:tcPr>
            <w:tcW w:w="1825" w:type="dxa"/>
          </w:tcPr>
          <w:p w:rsidR="00C86C9F" w:rsidRPr="007C1B29" w:rsidRDefault="00C86C9F" w:rsidP="00482683">
            <w:pPr>
              <w:contextualSpacing/>
            </w:pPr>
            <w:r w:rsidRPr="0084582F">
              <w:t>Schubert</w:t>
            </w:r>
          </w:p>
        </w:tc>
        <w:tc>
          <w:tcPr>
            <w:tcW w:w="3960" w:type="dxa"/>
          </w:tcPr>
          <w:p w:rsidR="00C86C9F" w:rsidRPr="009610A4" w:rsidDel="00E3448D" w:rsidRDefault="00C86C9F" w:rsidP="00482683">
            <w:pPr>
              <w:contextualSpacing/>
            </w:pPr>
            <w:proofErr w:type="spellStart"/>
            <w:r w:rsidRPr="00041143">
              <w:t>Helicomb</w:t>
            </w:r>
            <w:proofErr w:type="spellEnd"/>
            <w:r w:rsidRPr="00041143">
              <w:t xml:space="preserve"> Intl. Inc.</w:t>
            </w:r>
          </w:p>
        </w:tc>
        <w:tc>
          <w:tcPr>
            <w:tcW w:w="1775" w:type="dxa"/>
          </w:tcPr>
          <w:p w:rsidR="00C86C9F" w:rsidRDefault="00C86C9F" w:rsidP="00482683">
            <w:pPr>
              <w:contextualSpacing/>
            </w:pPr>
          </w:p>
        </w:tc>
      </w:tr>
      <w:tr w:rsidR="009561F0" w:rsidRPr="009610A4" w:rsidDel="00E3448D" w:rsidTr="007639EE">
        <w:tc>
          <w:tcPr>
            <w:tcW w:w="295" w:type="dxa"/>
          </w:tcPr>
          <w:p w:rsidR="009561F0" w:rsidRDefault="009561F0" w:rsidP="00482683">
            <w:pPr>
              <w:contextualSpacing/>
            </w:pPr>
          </w:p>
        </w:tc>
        <w:tc>
          <w:tcPr>
            <w:tcW w:w="1793" w:type="dxa"/>
          </w:tcPr>
          <w:p w:rsidR="009561F0" w:rsidRDefault="009561F0" w:rsidP="00482683">
            <w:pPr>
              <w:contextualSpacing/>
            </w:pPr>
            <w:r>
              <w:t>Andreas</w:t>
            </w:r>
          </w:p>
        </w:tc>
        <w:tc>
          <w:tcPr>
            <w:tcW w:w="1825" w:type="dxa"/>
          </w:tcPr>
          <w:p w:rsidR="009561F0" w:rsidRDefault="009561F0" w:rsidP="009561F0">
            <w:pPr>
              <w:contextualSpacing/>
            </w:pPr>
            <w:r>
              <w:t>Seifert</w:t>
            </w:r>
          </w:p>
          <w:p w:rsidR="009561F0" w:rsidRDefault="009561F0" w:rsidP="00482683">
            <w:pPr>
              <w:contextualSpacing/>
            </w:pPr>
          </w:p>
        </w:tc>
        <w:tc>
          <w:tcPr>
            <w:tcW w:w="3960" w:type="dxa"/>
          </w:tcPr>
          <w:p w:rsidR="009561F0" w:rsidRDefault="008B7C70" w:rsidP="00724BFF">
            <w:pPr>
              <w:contextualSpacing/>
              <w:rPr>
                <w:b/>
                <w:bCs/>
              </w:rPr>
            </w:pPr>
            <w:r w:rsidRPr="008B7C70">
              <w:t xml:space="preserve">RUAG Switzerland Ltd, Division RUAG Technology </w:t>
            </w:r>
            <w:proofErr w:type="spellStart"/>
            <w:r w:rsidRPr="008B7C70">
              <w:t>Emmen</w:t>
            </w:r>
            <w:proofErr w:type="spellEnd"/>
          </w:p>
        </w:tc>
        <w:tc>
          <w:tcPr>
            <w:tcW w:w="1775" w:type="dxa"/>
          </w:tcPr>
          <w:p w:rsidR="009561F0" w:rsidRDefault="009561F0"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9561F0" w:rsidP="00482683">
            <w:pPr>
              <w:contextualSpacing/>
            </w:pPr>
            <w:r>
              <w:t>E</w:t>
            </w:r>
            <w:r w:rsidR="00C86C9F" w:rsidRPr="0084582F">
              <w:t>lizabeth</w:t>
            </w:r>
          </w:p>
        </w:tc>
        <w:tc>
          <w:tcPr>
            <w:tcW w:w="1825" w:type="dxa"/>
          </w:tcPr>
          <w:p w:rsidR="00C86C9F" w:rsidRPr="007C1B29" w:rsidRDefault="00C86C9F" w:rsidP="00482683">
            <w:pPr>
              <w:contextualSpacing/>
            </w:pPr>
            <w:r w:rsidRPr="0084582F">
              <w:t>Small</w:t>
            </w:r>
          </w:p>
        </w:tc>
        <w:tc>
          <w:tcPr>
            <w:tcW w:w="3960" w:type="dxa"/>
          </w:tcPr>
          <w:p w:rsidR="00C86C9F" w:rsidRPr="009610A4" w:rsidDel="00E3448D" w:rsidRDefault="00C86C9F" w:rsidP="00724BFF">
            <w:pPr>
              <w:contextualSpacing/>
            </w:pPr>
            <w:r w:rsidRPr="00041143">
              <w:t xml:space="preserve">Curtiss Wright Controls </w:t>
            </w:r>
            <w:proofErr w:type="spellStart"/>
            <w:r w:rsidRPr="00041143">
              <w:t>Inc</w:t>
            </w:r>
            <w:proofErr w:type="spellEnd"/>
            <w:r w:rsidRPr="00041143">
              <w:t xml:space="preserve"> </w:t>
            </w:r>
            <w:proofErr w:type="spellStart"/>
            <w:r w:rsidRPr="00041143">
              <w:t>Eng</w:t>
            </w:r>
            <w:proofErr w:type="spellEnd"/>
            <w:r w:rsidRPr="00041143">
              <w:t xml:space="preserve"> Systems</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7C1B29" w:rsidRDefault="00C86C9F" w:rsidP="00482683">
            <w:pPr>
              <w:contextualSpacing/>
            </w:pPr>
            <w:r w:rsidRPr="0084582F">
              <w:t>Bernd</w:t>
            </w:r>
          </w:p>
        </w:tc>
        <w:tc>
          <w:tcPr>
            <w:tcW w:w="1825" w:type="dxa"/>
          </w:tcPr>
          <w:p w:rsidR="00C86C9F" w:rsidRPr="007C1B29" w:rsidRDefault="00C86C9F" w:rsidP="00482683">
            <w:pPr>
              <w:contextualSpacing/>
            </w:pPr>
            <w:proofErr w:type="spellStart"/>
            <w:r w:rsidRPr="0084582F">
              <w:t>Spelsberg</w:t>
            </w:r>
            <w:proofErr w:type="spellEnd"/>
          </w:p>
        </w:tc>
        <w:tc>
          <w:tcPr>
            <w:tcW w:w="3960" w:type="dxa"/>
          </w:tcPr>
          <w:p w:rsidR="00C86C9F" w:rsidRPr="009610A4" w:rsidDel="00E3448D" w:rsidRDefault="00C86C9F" w:rsidP="00482683">
            <w:pPr>
              <w:contextualSpacing/>
            </w:pPr>
            <w:r w:rsidRPr="00041143">
              <w:t>Otto Fuchs KG</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r>
              <w:t>*</w:t>
            </w:r>
          </w:p>
        </w:tc>
        <w:tc>
          <w:tcPr>
            <w:tcW w:w="1793" w:type="dxa"/>
          </w:tcPr>
          <w:p w:rsidR="00C86C9F" w:rsidRPr="007C1B29" w:rsidRDefault="00C86C9F" w:rsidP="00482683">
            <w:pPr>
              <w:contextualSpacing/>
            </w:pPr>
            <w:r w:rsidRPr="0084582F">
              <w:t>Vitorio</w:t>
            </w:r>
          </w:p>
        </w:tc>
        <w:tc>
          <w:tcPr>
            <w:tcW w:w="1825" w:type="dxa"/>
          </w:tcPr>
          <w:p w:rsidR="00C86C9F" w:rsidRPr="007C1B29" w:rsidRDefault="00C86C9F" w:rsidP="00482683">
            <w:pPr>
              <w:contextualSpacing/>
            </w:pPr>
            <w:r w:rsidRPr="0084582F">
              <w:t>Stana</w:t>
            </w:r>
          </w:p>
        </w:tc>
        <w:tc>
          <w:tcPr>
            <w:tcW w:w="3960" w:type="dxa"/>
          </w:tcPr>
          <w:p w:rsidR="00C86C9F" w:rsidRPr="009610A4" w:rsidDel="00E3448D" w:rsidRDefault="00C86C9F" w:rsidP="00482683">
            <w:pPr>
              <w:contextualSpacing/>
            </w:pPr>
            <w:proofErr w:type="spellStart"/>
            <w:r w:rsidRPr="00041143">
              <w:t>Avcorp</w:t>
            </w:r>
            <w:proofErr w:type="spellEnd"/>
            <w:r w:rsidRPr="00041143">
              <w:t xml:space="preserve"> Industries Inc.</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73526E">
            <w:pPr>
              <w:contextualSpacing/>
            </w:pPr>
          </w:p>
        </w:tc>
        <w:tc>
          <w:tcPr>
            <w:tcW w:w="1793" w:type="dxa"/>
          </w:tcPr>
          <w:p w:rsidR="00C86C9F" w:rsidRPr="00864418" w:rsidRDefault="00C86C9F" w:rsidP="0073526E">
            <w:pPr>
              <w:contextualSpacing/>
            </w:pPr>
            <w:r>
              <w:t xml:space="preserve">Ron </w:t>
            </w:r>
          </w:p>
        </w:tc>
        <w:tc>
          <w:tcPr>
            <w:tcW w:w="1825" w:type="dxa"/>
          </w:tcPr>
          <w:p w:rsidR="00C86C9F" w:rsidRPr="00864418" w:rsidRDefault="00C86C9F" w:rsidP="0073526E">
            <w:pPr>
              <w:contextualSpacing/>
            </w:pPr>
            <w:r>
              <w:t>Stewart</w:t>
            </w:r>
          </w:p>
        </w:tc>
        <w:tc>
          <w:tcPr>
            <w:tcW w:w="3960" w:type="dxa"/>
          </w:tcPr>
          <w:p w:rsidR="00C86C9F" w:rsidRPr="0073526E" w:rsidRDefault="00C86C9F" w:rsidP="0073526E">
            <w:pPr>
              <w:contextualSpacing/>
            </w:pPr>
            <w:r>
              <w:t>Ellison Surface Technologies</w:t>
            </w:r>
          </w:p>
        </w:tc>
        <w:tc>
          <w:tcPr>
            <w:tcW w:w="1775" w:type="dxa"/>
          </w:tcPr>
          <w:p w:rsidR="00C86C9F" w:rsidRDefault="00C86C9F" w:rsidP="0073526E">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Levi</w:t>
            </w:r>
          </w:p>
        </w:tc>
        <w:tc>
          <w:tcPr>
            <w:tcW w:w="1825" w:type="dxa"/>
          </w:tcPr>
          <w:p w:rsidR="00C86C9F" w:rsidRPr="007C1B29" w:rsidRDefault="00C86C9F" w:rsidP="00482683">
            <w:pPr>
              <w:contextualSpacing/>
            </w:pPr>
            <w:proofErr w:type="spellStart"/>
            <w:r w:rsidRPr="0084582F">
              <w:t>Talamantes</w:t>
            </w:r>
            <w:proofErr w:type="spellEnd"/>
          </w:p>
        </w:tc>
        <w:tc>
          <w:tcPr>
            <w:tcW w:w="3960" w:type="dxa"/>
          </w:tcPr>
          <w:p w:rsidR="00C86C9F" w:rsidRPr="009610A4" w:rsidDel="00E3448D" w:rsidRDefault="00C86C9F" w:rsidP="00482683">
            <w:pPr>
              <w:contextualSpacing/>
            </w:pPr>
            <w:r w:rsidRPr="00041143">
              <w:t>Metal Finishing Company, LLC</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84582F" w:rsidRDefault="00C86C9F" w:rsidP="00482683">
            <w:pPr>
              <w:contextualSpacing/>
            </w:pPr>
            <w:r>
              <w:t>Serap</w:t>
            </w:r>
          </w:p>
        </w:tc>
        <w:tc>
          <w:tcPr>
            <w:tcW w:w="1825" w:type="dxa"/>
          </w:tcPr>
          <w:p w:rsidR="00C86C9F" w:rsidRPr="0084582F" w:rsidRDefault="00C86C9F" w:rsidP="00482683">
            <w:pPr>
              <w:contextualSpacing/>
            </w:pPr>
            <w:r>
              <w:t>Uysal</w:t>
            </w:r>
          </w:p>
        </w:tc>
        <w:tc>
          <w:tcPr>
            <w:tcW w:w="3960" w:type="dxa"/>
          </w:tcPr>
          <w:p w:rsidR="00C86C9F" w:rsidRPr="00041143" w:rsidRDefault="00C86C9F" w:rsidP="00482683">
            <w:pPr>
              <w:contextualSpacing/>
            </w:pPr>
            <w:r>
              <w:t>Turkish Aerospace Ind.</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Serap</w:t>
            </w:r>
          </w:p>
        </w:tc>
        <w:tc>
          <w:tcPr>
            <w:tcW w:w="1825" w:type="dxa"/>
          </w:tcPr>
          <w:p w:rsidR="00C86C9F" w:rsidRPr="007C1B29" w:rsidRDefault="00C86C9F" w:rsidP="00482683">
            <w:pPr>
              <w:contextualSpacing/>
            </w:pPr>
            <w:r w:rsidRPr="0084582F">
              <w:t>Uysal</w:t>
            </w:r>
          </w:p>
        </w:tc>
        <w:tc>
          <w:tcPr>
            <w:tcW w:w="3960" w:type="dxa"/>
          </w:tcPr>
          <w:p w:rsidR="00C86C9F" w:rsidRPr="009610A4" w:rsidDel="00E3448D" w:rsidRDefault="00C86C9F" w:rsidP="00482683">
            <w:pPr>
              <w:contextualSpacing/>
            </w:pPr>
            <w:r w:rsidRPr="00041143">
              <w:t>TUSAS TURKISH AEROSPACE INDUSTRIES INC.</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73526E">
            <w:pPr>
              <w:contextualSpacing/>
            </w:pPr>
          </w:p>
        </w:tc>
        <w:tc>
          <w:tcPr>
            <w:tcW w:w="1793" w:type="dxa"/>
          </w:tcPr>
          <w:p w:rsidR="00C86C9F" w:rsidRPr="00864418" w:rsidRDefault="00C86C9F" w:rsidP="0073526E">
            <w:pPr>
              <w:contextualSpacing/>
            </w:pPr>
            <w:r>
              <w:t>Chris</w:t>
            </w:r>
          </w:p>
        </w:tc>
        <w:tc>
          <w:tcPr>
            <w:tcW w:w="1825" w:type="dxa"/>
          </w:tcPr>
          <w:p w:rsidR="00C86C9F" w:rsidRPr="00864418" w:rsidRDefault="00C86C9F" w:rsidP="0073526E">
            <w:pPr>
              <w:contextualSpacing/>
            </w:pPr>
            <w:r>
              <w:t xml:space="preserve">Van </w:t>
            </w:r>
            <w:proofErr w:type="spellStart"/>
            <w:r>
              <w:t>Oehe</w:t>
            </w:r>
            <w:proofErr w:type="spellEnd"/>
          </w:p>
        </w:tc>
        <w:tc>
          <w:tcPr>
            <w:tcW w:w="3960" w:type="dxa"/>
          </w:tcPr>
          <w:p w:rsidR="00C86C9F" w:rsidRPr="0073526E" w:rsidRDefault="00C86C9F" w:rsidP="0073526E">
            <w:pPr>
              <w:contextualSpacing/>
            </w:pPr>
            <w:proofErr w:type="spellStart"/>
            <w:r>
              <w:t>Aeronamic</w:t>
            </w:r>
            <w:proofErr w:type="spellEnd"/>
            <w:r>
              <w:t xml:space="preserve"> BV</w:t>
            </w:r>
          </w:p>
        </w:tc>
        <w:tc>
          <w:tcPr>
            <w:tcW w:w="1775" w:type="dxa"/>
          </w:tcPr>
          <w:p w:rsidR="00C86C9F" w:rsidRDefault="00C86C9F" w:rsidP="0073526E">
            <w:pPr>
              <w:contextualSpacing/>
            </w:pPr>
          </w:p>
        </w:tc>
      </w:tr>
      <w:tr w:rsidR="00C86C9F" w:rsidRPr="009610A4" w:rsidDel="00E3448D" w:rsidTr="00C86C9F">
        <w:tc>
          <w:tcPr>
            <w:tcW w:w="295" w:type="dxa"/>
          </w:tcPr>
          <w:p w:rsidR="00C86C9F" w:rsidRDefault="00C86C9F" w:rsidP="008B7C47">
            <w:pPr>
              <w:contextualSpacing/>
            </w:pPr>
          </w:p>
        </w:tc>
        <w:tc>
          <w:tcPr>
            <w:tcW w:w="1793" w:type="dxa"/>
            <w:vAlign w:val="center"/>
          </w:tcPr>
          <w:p w:rsidR="00C86C9F" w:rsidRPr="0084582F" w:rsidRDefault="00C86C9F" w:rsidP="008B7C47">
            <w:pPr>
              <w:contextualSpacing/>
            </w:pPr>
            <w:proofErr w:type="spellStart"/>
            <w:r>
              <w:rPr>
                <w:rFonts w:cs="Arial"/>
                <w:color w:val="000000"/>
                <w:szCs w:val="20"/>
              </w:rPr>
              <w:t>Lihua</w:t>
            </w:r>
            <w:proofErr w:type="spellEnd"/>
          </w:p>
        </w:tc>
        <w:tc>
          <w:tcPr>
            <w:tcW w:w="1825" w:type="dxa"/>
            <w:vAlign w:val="center"/>
          </w:tcPr>
          <w:p w:rsidR="00C86C9F" w:rsidRPr="0084582F" w:rsidRDefault="00C86C9F" w:rsidP="008B7C47">
            <w:pPr>
              <w:contextualSpacing/>
            </w:pPr>
            <w:r>
              <w:rPr>
                <w:rFonts w:cs="Arial"/>
                <w:color w:val="000000"/>
                <w:szCs w:val="20"/>
              </w:rPr>
              <w:t>Wang</w:t>
            </w:r>
          </w:p>
        </w:tc>
        <w:tc>
          <w:tcPr>
            <w:tcW w:w="3960" w:type="dxa"/>
          </w:tcPr>
          <w:p w:rsidR="00C86C9F" w:rsidRPr="00041143" w:rsidRDefault="00C86C9F" w:rsidP="008B7C47">
            <w:pPr>
              <w:contextualSpacing/>
            </w:pPr>
            <w:r w:rsidRPr="008B7C47">
              <w:t>Chengdu Aircraft Industrial (Group) Co., Ltd.</w:t>
            </w:r>
          </w:p>
        </w:tc>
        <w:tc>
          <w:tcPr>
            <w:tcW w:w="1775" w:type="dxa"/>
          </w:tcPr>
          <w:p w:rsidR="00C86C9F" w:rsidRDefault="00C86C9F" w:rsidP="008B7C47">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r w:rsidRPr="0084582F">
              <w:t>Wilfried</w:t>
            </w:r>
          </w:p>
        </w:tc>
        <w:tc>
          <w:tcPr>
            <w:tcW w:w="1825" w:type="dxa"/>
          </w:tcPr>
          <w:p w:rsidR="00C86C9F" w:rsidRPr="007C1B29" w:rsidRDefault="00C86C9F" w:rsidP="00482683">
            <w:pPr>
              <w:contextualSpacing/>
            </w:pPr>
            <w:r w:rsidRPr="0084582F">
              <w:t>Weber</w:t>
            </w:r>
          </w:p>
        </w:tc>
        <w:tc>
          <w:tcPr>
            <w:tcW w:w="3960" w:type="dxa"/>
          </w:tcPr>
          <w:p w:rsidR="00C86C9F" w:rsidRPr="009610A4" w:rsidDel="00E3448D" w:rsidRDefault="00C86C9F" w:rsidP="00482683">
            <w:pPr>
              <w:contextualSpacing/>
            </w:pPr>
            <w:r w:rsidRPr="00041143">
              <w:t>PFW Aerospace GmbH</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proofErr w:type="spellStart"/>
            <w:r w:rsidRPr="0084582F">
              <w:t>Bartosz</w:t>
            </w:r>
            <w:proofErr w:type="spellEnd"/>
          </w:p>
        </w:tc>
        <w:tc>
          <w:tcPr>
            <w:tcW w:w="1825" w:type="dxa"/>
          </w:tcPr>
          <w:p w:rsidR="00C86C9F" w:rsidRPr="007C1B29" w:rsidRDefault="00C86C9F" w:rsidP="00482683">
            <w:pPr>
              <w:contextualSpacing/>
            </w:pPr>
            <w:proofErr w:type="spellStart"/>
            <w:r w:rsidRPr="0084582F">
              <w:t>Wojtczak</w:t>
            </w:r>
            <w:proofErr w:type="spellEnd"/>
          </w:p>
        </w:tc>
        <w:tc>
          <w:tcPr>
            <w:tcW w:w="3960" w:type="dxa"/>
          </w:tcPr>
          <w:p w:rsidR="00C86C9F" w:rsidRPr="009610A4" w:rsidDel="00E3448D" w:rsidRDefault="00C86C9F" w:rsidP="00482683">
            <w:pPr>
              <w:contextualSpacing/>
            </w:pPr>
            <w:r w:rsidRPr="00041143">
              <w:t>Nu-Pro Limited</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7C1B29" w:rsidRDefault="00C86C9F" w:rsidP="00482683">
            <w:pPr>
              <w:contextualSpacing/>
            </w:pPr>
            <w:proofErr w:type="spellStart"/>
            <w:r w:rsidRPr="0084582F">
              <w:t>Deukyong</w:t>
            </w:r>
            <w:proofErr w:type="spellEnd"/>
          </w:p>
        </w:tc>
        <w:tc>
          <w:tcPr>
            <w:tcW w:w="1825" w:type="dxa"/>
          </w:tcPr>
          <w:p w:rsidR="00C86C9F" w:rsidRPr="007C1B29" w:rsidRDefault="00C86C9F" w:rsidP="00482683">
            <w:pPr>
              <w:contextualSpacing/>
            </w:pPr>
            <w:proofErr w:type="spellStart"/>
            <w:r w:rsidRPr="0084582F">
              <w:t>Yoo</w:t>
            </w:r>
            <w:proofErr w:type="spellEnd"/>
          </w:p>
        </w:tc>
        <w:tc>
          <w:tcPr>
            <w:tcW w:w="3960" w:type="dxa"/>
          </w:tcPr>
          <w:p w:rsidR="00C86C9F" w:rsidRPr="009610A4" w:rsidDel="00E3448D" w:rsidRDefault="00C86C9F" w:rsidP="00482683">
            <w:pPr>
              <w:contextualSpacing/>
            </w:pPr>
            <w:r w:rsidRPr="00041143">
              <w:t>Korean Air Aerospace Business Division</w:t>
            </w:r>
          </w:p>
        </w:tc>
        <w:tc>
          <w:tcPr>
            <w:tcW w:w="1775" w:type="dxa"/>
          </w:tcPr>
          <w:p w:rsidR="00C86C9F" w:rsidRDefault="00C86C9F" w:rsidP="00482683">
            <w:pPr>
              <w:contextualSpacing/>
            </w:pPr>
          </w:p>
        </w:tc>
      </w:tr>
      <w:tr w:rsidR="00C86C9F" w:rsidRPr="009610A4" w:rsidDel="00E3448D" w:rsidTr="007639EE">
        <w:tc>
          <w:tcPr>
            <w:tcW w:w="295" w:type="dxa"/>
          </w:tcPr>
          <w:p w:rsidR="00C86C9F" w:rsidRDefault="00C86C9F" w:rsidP="00482683">
            <w:pPr>
              <w:contextualSpacing/>
            </w:pPr>
          </w:p>
        </w:tc>
        <w:tc>
          <w:tcPr>
            <w:tcW w:w="1793" w:type="dxa"/>
          </w:tcPr>
          <w:p w:rsidR="00C86C9F" w:rsidRPr="0084582F" w:rsidRDefault="00C86C9F" w:rsidP="00482683">
            <w:pPr>
              <w:contextualSpacing/>
            </w:pPr>
            <w:r>
              <w:t>Johan</w:t>
            </w:r>
          </w:p>
        </w:tc>
        <w:tc>
          <w:tcPr>
            <w:tcW w:w="1825" w:type="dxa"/>
          </w:tcPr>
          <w:p w:rsidR="00C86C9F" w:rsidRPr="0084582F" w:rsidRDefault="00C86C9F" w:rsidP="00482683">
            <w:pPr>
              <w:contextualSpacing/>
            </w:pPr>
            <w:proofErr w:type="spellStart"/>
            <w:r>
              <w:t>Yttervile</w:t>
            </w:r>
            <w:proofErr w:type="spellEnd"/>
          </w:p>
        </w:tc>
        <w:tc>
          <w:tcPr>
            <w:tcW w:w="3960" w:type="dxa"/>
          </w:tcPr>
          <w:p w:rsidR="00C86C9F" w:rsidRPr="00041143" w:rsidRDefault="00C86C9F" w:rsidP="00482683">
            <w:pPr>
              <w:contextualSpacing/>
            </w:pPr>
            <w:r>
              <w:t>GKN Aerospace</w:t>
            </w:r>
          </w:p>
        </w:tc>
        <w:tc>
          <w:tcPr>
            <w:tcW w:w="1775" w:type="dxa"/>
          </w:tcPr>
          <w:p w:rsidR="00C86C9F" w:rsidRDefault="00C86C9F" w:rsidP="00482683">
            <w:pPr>
              <w:contextualSpacing/>
            </w:pPr>
          </w:p>
        </w:tc>
      </w:tr>
    </w:tbl>
    <w:p w:rsidR="009610A4" w:rsidRPr="009610A4" w:rsidRDefault="009610A4" w:rsidP="009610A4">
      <w:pPr>
        <w:keepNext/>
        <w:spacing w:before="200"/>
        <w:ind w:left="720"/>
        <w:rPr>
          <w:b/>
          <w:i/>
          <w:u w:val="single"/>
        </w:rPr>
      </w:pPr>
      <w:r w:rsidRPr="009610A4">
        <w:rPr>
          <w:b/>
          <w:i/>
          <w:u w:val="single"/>
        </w:rPr>
        <w:t xml:space="preserve">PRI Staff Present </w:t>
      </w:r>
    </w:p>
    <w:tbl>
      <w:tblPr>
        <w:tblStyle w:val="TableGrid"/>
        <w:tblW w:w="36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25"/>
      </w:tblGrid>
      <w:tr w:rsidR="00E71560" w:rsidRPr="009610A4" w:rsidTr="000F14F2">
        <w:tc>
          <w:tcPr>
            <w:tcW w:w="1800" w:type="dxa"/>
          </w:tcPr>
          <w:p w:rsidR="00E71560" w:rsidRPr="009610A4" w:rsidRDefault="00E71560" w:rsidP="009610A4">
            <w:pPr>
              <w:contextualSpacing/>
            </w:pPr>
            <w:r>
              <w:t>Ethan</w:t>
            </w:r>
          </w:p>
        </w:tc>
        <w:tc>
          <w:tcPr>
            <w:tcW w:w="1825" w:type="dxa"/>
          </w:tcPr>
          <w:p w:rsidR="00E71560" w:rsidRPr="009610A4" w:rsidRDefault="00E71560" w:rsidP="009610A4">
            <w:pPr>
              <w:contextualSpacing/>
            </w:pPr>
            <w:r>
              <w:t>Akins</w:t>
            </w:r>
          </w:p>
        </w:tc>
      </w:tr>
      <w:tr w:rsidR="00E71560" w:rsidRPr="009610A4" w:rsidTr="000F14F2">
        <w:tc>
          <w:tcPr>
            <w:tcW w:w="1800" w:type="dxa"/>
          </w:tcPr>
          <w:p w:rsidR="00E71560" w:rsidRPr="009610A4" w:rsidRDefault="00E71560" w:rsidP="009610A4">
            <w:pPr>
              <w:contextualSpacing/>
            </w:pPr>
            <w:r w:rsidRPr="009610A4">
              <w:t>Nigel</w:t>
            </w:r>
          </w:p>
        </w:tc>
        <w:tc>
          <w:tcPr>
            <w:tcW w:w="1825" w:type="dxa"/>
          </w:tcPr>
          <w:p w:rsidR="00E71560" w:rsidRPr="009610A4" w:rsidRDefault="00E71560" w:rsidP="009610A4">
            <w:pPr>
              <w:contextualSpacing/>
            </w:pPr>
            <w:r w:rsidRPr="009610A4">
              <w:t>Cook</w:t>
            </w:r>
          </w:p>
        </w:tc>
      </w:tr>
      <w:tr w:rsidR="001654F4" w:rsidRPr="009610A4" w:rsidTr="000F14F2">
        <w:tc>
          <w:tcPr>
            <w:tcW w:w="1800" w:type="dxa"/>
          </w:tcPr>
          <w:p w:rsidR="001654F4" w:rsidRPr="009610A4" w:rsidRDefault="001654F4" w:rsidP="009610A4">
            <w:pPr>
              <w:contextualSpacing/>
            </w:pPr>
            <w:r>
              <w:t>Mike</w:t>
            </w:r>
          </w:p>
        </w:tc>
        <w:tc>
          <w:tcPr>
            <w:tcW w:w="1825" w:type="dxa"/>
          </w:tcPr>
          <w:p w:rsidR="001654F4" w:rsidRPr="009610A4" w:rsidRDefault="001654F4" w:rsidP="009610A4">
            <w:pPr>
              <w:contextualSpacing/>
            </w:pPr>
            <w:r>
              <w:t>Graham</w:t>
            </w:r>
          </w:p>
        </w:tc>
      </w:tr>
      <w:tr w:rsidR="00E71560" w:rsidRPr="009610A4" w:rsidTr="000F14F2">
        <w:tc>
          <w:tcPr>
            <w:tcW w:w="1800" w:type="dxa"/>
          </w:tcPr>
          <w:p w:rsidR="00E71560" w:rsidRPr="009610A4" w:rsidRDefault="00853959" w:rsidP="009610A4">
            <w:pPr>
              <w:contextualSpacing/>
            </w:pPr>
            <w:r>
              <w:t>Christine</w:t>
            </w:r>
          </w:p>
        </w:tc>
        <w:tc>
          <w:tcPr>
            <w:tcW w:w="1825" w:type="dxa"/>
          </w:tcPr>
          <w:p w:rsidR="00E71560" w:rsidRPr="009610A4" w:rsidRDefault="00853959" w:rsidP="009610A4">
            <w:pPr>
              <w:contextualSpacing/>
            </w:pPr>
            <w:r>
              <w:t>Nesbitt</w:t>
            </w:r>
          </w:p>
        </w:tc>
      </w:tr>
    </w:tbl>
    <w:p w:rsidR="009610A4" w:rsidRPr="009610A4" w:rsidRDefault="009610A4" w:rsidP="009610A4">
      <w:pPr>
        <w:keepNext/>
        <w:keepLines/>
        <w:spacing w:after="0"/>
        <w:ind w:left="181"/>
        <w:outlineLvl w:val="1"/>
        <w:rPr>
          <w:rFonts w:eastAsiaTheme="majorEastAsia" w:cstheme="majorBidi"/>
          <w:bCs/>
          <w:szCs w:val="26"/>
        </w:rPr>
      </w:pPr>
      <w:bookmarkStart w:id="0" w:name="_Toc350939831"/>
      <w:bookmarkStart w:id="1" w:name="_Toc350939946"/>
      <w:bookmarkStart w:id="2" w:name="_Toc350940169"/>
      <w:bookmarkStart w:id="3" w:name="_Toc350940745"/>
      <w:bookmarkStart w:id="4" w:name="_Toc350940888"/>
      <w:bookmarkStart w:id="5" w:name="_Toc350941235"/>
      <w:bookmarkStart w:id="6" w:name="_Toc350941363"/>
      <w:bookmarkStart w:id="7" w:name="_Toc350942126"/>
      <w:bookmarkStart w:id="8" w:name="_Toc358702235"/>
      <w:bookmarkStart w:id="9" w:name="_Toc358702698"/>
      <w:bookmarkStart w:id="10" w:name="_Toc358702802"/>
      <w:bookmarkStart w:id="11" w:name="_Toc360168624"/>
      <w:bookmarkStart w:id="12" w:name="_Toc360169335"/>
      <w:bookmarkStart w:id="13" w:name="_Toc360170408"/>
      <w:bookmarkStart w:id="14" w:name="_Toc360193960"/>
      <w:bookmarkStart w:id="15" w:name="_Toc360194075"/>
      <w:bookmarkStart w:id="16" w:name="_Toc368986509"/>
      <w:bookmarkStart w:id="17" w:name="_Toc380153350"/>
      <w:bookmarkStart w:id="18" w:name="_Toc381686425"/>
      <w:bookmarkStart w:id="19" w:name="_Toc381686844"/>
      <w:bookmarkStart w:id="20" w:name="_Toc381691462"/>
      <w:bookmarkStart w:id="21" w:name="_Toc383078170"/>
      <w:bookmarkStart w:id="22" w:name="_Toc383078406"/>
      <w:bookmarkStart w:id="23" w:name="_Toc383163762"/>
      <w:bookmarkStart w:id="24" w:name="_Toc384042753"/>
      <w:bookmarkStart w:id="25" w:name="_Toc388531004"/>
      <w:bookmarkStart w:id="26" w:name="_Toc388531251"/>
      <w:bookmarkStart w:id="27" w:name="_Toc388534169"/>
      <w:bookmarkStart w:id="28" w:name="_Toc390067047"/>
      <w:bookmarkStart w:id="29" w:name="_Toc392158362"/>
      <w:bookmarkStart w:id="30" w:name="_Toc393438863"/>
      <w:bookmarkStart w:id="31" w:name="_Toc393441829"/>
      <w:bookmarkStart w:id="32" w:name="_Toc393442016"/>
      <w:bookmarkStart w:id="33" w:name="_Toc403115925"/>
      <w:bookmarkStart w:id="34" w:name="_Toc403466293"/>
      <w:bookmarkStart w:id="35" w:name="_Toc403466494"/>
      <w:bookmarkStart w:id="36" w:name="_Toc403466830"/>
      <w:bookmarkStart w:id="37" w:name="_Toc403466949"/>
    </w:p>
    <w:p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Safety Information:</w:t>
      </w:r>
    </w:p>
    <w:p w:rsidR="009610A4" w:rsidRPr="009610A4" w:rsidRDefault="009610A4" w:rsidP="0062553F">
      <w:pPr>
        <w:ind w:left="720"/>
      </w:pPr>
      <w:r w:rsidRPr="009610A4">
        <w:t>Review</w:t>
      </w:r>
      <w:r w:rsidR="00E236A4">
        <w:t>ed</w:t>
      </w:r>
      <w:r w:rsidRPr="009610A4">
        <w:t xml:space="preserve"> </w:t>
      </w:r>
      <w:r w:rsidR="0062553F">
        <w:t>fire e</w:t>
      </w:r>
      <w:r w:rsidRPr="009610A4">
        <w:t>xits</w:t>
      </w:r>
      <w:r w:rsidR="00E236A4">
        <w:t>.</w:t>
      </w:r>
    </w:p>
    <w:p w:rsidR="0062553F" w:rsidRPr="0062553F" w:rsidRDefault="009610A4" w:rsidP="009610A4">
      <w:pPr>
        <w:keepNext/>
        <w:keepLines/>
        <w:numPr>
          <w:ilvl w:val="1"/>
          <w:numId w:val="1"/>
        </w:numPr>
        <w:tabs>
          <w:tab w:val="clear" w:pos="1080"/>
          <w:tab w:val="num" w:pos="1260"/>
        </w:tabs>
        <w:outlineLvl w:val="1"/>
        <w:rPr>
          <w:rFonts w:eastAsiaTheme="majorEastAsia" w:cstheme="majorBidi"/>
          <w:bCs/>
          <w:szCs w:val="26"/>
        </w:rPr>
      </w:pPr>
      <w:r w:rsidRPr="009610A4">
        <w:t>Inform</w:t>
      </w:r>
      <w:r w:rsidR="00E236A4">
        <w:t>ed</w:t>
      </w:r>
      <w:r w:rsidRPr="009610A4">
        <w:t xml:space="preserve"> </w:t>
      </w:r>
      <w:r w:rsidR="00AE2C1C">
        <w:t xml:space="preserve">attendees </w:t>
      </w:r>
      <w:r w:rsidRPr="009610A4">
        <w:t xml:space="preserve">to contact </w:t>
      </w:r>
      <w:r w:rsidR="00AE2C1C">
        <w:t>Performance Review Institute (</w:t>
      </w:r>
      <w:r w:rsidRPr="009610A4">
        <w:t>PRI</w:t>
      </w:r>
      <w:r w:rsidR="00AE2C1C">
        <w:t>) s</w:t>
      </w:r>
      <w:r w:rsidRPr="009610A4">
        <w:t xml:space="preserve">taff person </w:t>
      </w:r>
      <w:r w:rsidR="00AE2C1C">
        <w:t>with</w:t>
      </w:r>
      <w:r w:rsidRPr="009610A4">
        <w:t xml:space="preserve"> any emergencies</w:t>
      </w:r>
      <w:r w:rsidR="00AE2C1C">
        <w:t>.</w:t>
      </w:r>
      <w:r w:rsidR="00DD1755">
        <w:t xml:space="preserve"> </w:t>
      </w:r>
    </w:p>
    <w:p w:rsidR="009610A4" w:rsidRPr="00AA27F9" w:rsidRDefault="009610A4" w:rsidP="009610A4">
      <w:pPr>
        <w:keepNext/>
        <w:keepLines/>
        <w:numPr>
          <w:ilvl w:val="1"/>
          <w:numId w:val="1"/>
        </w:numPr>
        <w:tabs>
          <w:tab w:val="clear" w:pos="1080"/>
          <w:tab w:val="num" w:pos="1260"/>
        </w:tabs>
        <w:outlineLvl w:val="1"/>
        <w:rPr>
          <w:rFonts w:eastAsiaTheme="majorEastAsia" w:cstheme="majorBidi"/>
          <w:bCs/>
          <w:szCs w:val="26"/>
        </w:rPr>
      </w:pPr>
      <w:r w:rsidRPr="00AA27F9">
        <w:rPr>
          <w:rFonts w:eastAsiaTheme="majorEastAsia" w:cstheme="majorBidi"/>
          <w:bCs/>
          <w:szCs w:val="26"/>
        </w:rPr>
        <w:t>Review</w:t>
      </w:r>
      <w:r w:rsidR="00E236A4" w:rsidRPr="00AA27F9">
        <w:rPr>
          <w:rFonts w:eastAsiaTheme="majorEastAsia" w:cstheme="majorBidi"/>
          <w:bCs/>
          <w:szCs w:val="26"/>
        </w:rPr>
        <w:t>ed</w:t>
      </w:r>
      <w:r w:rsidRPr="00AA27F9">
        <w:rPr>
          <w:rFonts w:eastAsiaTheme="majorEastAsia" w:cstheme="majorBidi"/>
          <w:bCs/>
          <w:szCs w:val="26"/>
        </w:rPr>
        <w:t xml:space="preserve"> Code of Ethics (Ref</w:t>
      </w:r>
      <w:r w:rsidR="00AE2C1C" w:rsidRPr="00AA27F9">
        <w:rPr>
          <w:rFonts w:eastAsiaTheme="majorEastAsia" w:cstheme="majorBidi"/>
          <w:bCs/>
          <w:szCs w:val="26"/>
        </w:rPr>
        <w:t>erenced</w:t>
      </w:r>
      <w:r w:rsidRPr="00AA27F9">
        <w:rPr>
          <w:rFonts w:eastAsiaTheme="majorEastAsia" w:cstheme="majorBidi"/>
          <w:bCs/>
          <w:szCs w:val="26"/>
        </w:rPr>
        <w:t>: Attendees’ Guide) and Meeting Conduct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E2C1C" w:rsidRPr="00AA27F9">
        <w:rPr>
          <w:rFonts w:eastAsiaTheme="majorEastAsia" w:cstheme="majorBidi"/>
          <w:bCs/>
          <w:szCs w:val="26"/>
        </w:rPr>
        <w:t>.</w:t>
      </w:r>
    </w:p>
    <w:p w:rsid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38" w:name="_Toc383078171"/>
      <w:bookmarkStart w:id="39" w:name="_Toc383078407"/>
      <w:bookmarkStart w:id="40" w:name="_Toc383163763"/>
      <w:bookmarkStart w:id="41" w:name="_Toc384042754"/>
      <w:bookmarkStart w:id="42" w:name="_Toc388531005"/>
      <w:bookmarkStart w:id="43" w:name="_Toc388531252"/>
      <w:bookmarkStart w:id="44" w:name="_Toc388534170"/>
      <w:bookmarkStart w:id="45" w:name="_Toc390067048"/>
      <w:bookmarkStart w:id="46" w:name="_Toc392158363"/>
      <w:bookmarkStart w:id="47" w:name="_Toc393438864"/>
      <w:bookmarkStart w:id="48" w:name="_Toc393441830"/>
      <w:bookmarkStart w:id="49" w:name="_Toc393442017"/>
      <w:bookmarkStart w:id="50" w:name="_Toc403115926"/>
      <w:bookmarkStart w:id="51" w:name="_Toc403466294"/>
      <w:bookmarkStart w:id="52" w:name="_Toc403466495"/>
      <w:bookmarkStart w:id="53" w:name="_Toc403466831"/>
      <w:bookmarkStart w:id="54" w:name="_Toc403466950"/>
      <w:r w:rsidRPr="009610A4">
        <w:rPr>
          <w:rFonts w:eastAsiaTheme="majorEastAsia" w:cstheme="majorBidi"/>
          <w:bCs/>
          <w:szCs w:val="26"/>
        </w:rPr>
        <w:t xml:space="preserve">Presented the Antitrust Video (only </w:t>
      </w:r>
      <w:r w:rsidR="00AE2C1C">
        <w:rPr>
          <w:rFonts w:eastAsiaTheme="majorEastAsia" w:cstheme="majorBidi"/>
          <w:bCs/>
          <w:szCs w:val="26"/>
        </w:rPr>
        <w:t>at</w:t>
      </w:r>
      <w:r w:rsidRPr="009610A4">
        <w:rPr>
          <w:rFonts w:eastAsiaTheme="majorEastAsia" w:cstheme="majorBidi"/>
          <w:bCs/>
          <w:szCs w:val="26"/>
        </w:rPr>
        <w:t xml:space="preserve"> the first open and first closed meeting of the week for </w:t>
      </w:r>
      <w:r w:rsidRPr="009610A4">
        <w:rPr>
          <w:rFonts w:eastAsiaTheme="majorEastAsia" w:cstheme="majorBidi"/>
          <w:bCs/>
          <w:szCs w:val="26"/>
          <w:u w:val="single"/>
        </w:rPr>
        <w:t>each</w:t>
      </w:r>
      <w:r w:rsidRPr="009610A4">
        <w:rPr>
          <w:rFonts w:eastAsiaTheme="majorEastAsia" w:cstheme="majorBidi"/>
          <w:bCs/>
          <w:szCs w:val="26"/>
        </w:rPr>
        <w:t xml:space="preserve"> Task Group)</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E236A4">
        <w:rPr>
          <w:rFonts w:eastAsiaTheme="majorEastAsia" w:cstheme="majorBidi"/>
          <w:bCs/>
          <w:szCs w:val="26"/>
        </w:rPr>
        <w:t>.</w:t>
      </w:r>
    </w:p>
    <w:p w:rsidR="00614A39" w:rsidRDefault="007B161F" w:rsidP="009610A4">
      <w:pPr>
        <w:keepNext/>
        <w:keepLines/>
        <w:numPr>
          <w:ilvl w:val="1"/>
          <w:numId w:val="1"/>
        </w:numPr>
        <w:tabs>
          <w:tab w:val="clear" w:pos="1080"/>
          <w:tab w:val="num" w:pos="1260"/>
        </w:tabs>
        <w:outlineLvl w:val="1"/>
        <w:rPr>
          <w:rFonts w:eastAsiaTheme="majorEastAsia" w:cstheme="majorBidi"/>
          <w:bCs/>
          <w:szCs w:val="26"/>
        </w:rPr>
      </w:pPr>
      <w:r w:rsidRPr="0003639A">
        <w:rPr>
          <w:rFonts w:eastAsiaTheme="majorEastAsia" w:cstheme="majorBidi"/>
          <w:bCs/>
          <w:szCs w:val="26"/>
        </w:rPr>
        <w:t>Approv</w:t>
      </w:r>
      <w:r w:rsidR="00BB61A2" w:rsidRPr="0003639A">
        <w:rPr>
          <w:rFonts w:eastAsiaTheme="majorEastAsia" w:cstheme="majorBidi"/>
          <w:bCs/>
          <w:szCs w:val="26"/>
        </w:rPr>
        <w:t>al of</w:t>
      </w:r>
      <w:r w:rsidRPr="0003639A">
        <w:rPr>
          <w:rFonts w:eastAsiaTheme="majorEastAsia" w:cstheme="majorBidi"/>
          <w:bCs/>
          <w:szCs w:val="26"/>
        </w:rPr>
        <w:t xml:space="preserve"> the minutes of the previous m</w:t>
      </w:r>
      <w:r w:rsidR="00BB61A2" w:rsidRPr="0003639A">
        <w:rPr>
          <w:rFonts w:eastAsiaTheme="majorEastAsia" w:cstheme="majorBidi"/>
          <w:bCs/>
          <w:szCs w:val="26"/>
        </w:rPr>
        <w:t>eeting</w:t>
      </w:r>
      <w:r w:rsidR="00BB61A2">
        <w:rPr>
          <w:rFonts w:eastAsiaTheme="majorEastAsia" w:cstheme="majorBidi"/>
          <w:bCs/>
          <w:szCs w:val="26"/>
        </w:rPr>
        <w:t xml:space="preserve">. </w:t>
      </w:r>
    </w:p>
    <w:p w:rsidR="007B161F" w:rsidRPr="009610A4" w:rsidRDefault="00BB61A2" w:rsidP="00614A39">
      <w:pPr>
        <w:keepNext/>
        <w:keepLines/>
        <w:ind w:left="720"/>
        <w:outlineLvl w:val="1"/>
        <w:rPr>
          <w:rFonts w:eastAsiaTheme="majorEastAsia" w:cstheme="majorBidi"/>
          <w:bCs/>
          <w:szCs w:val="26"/>
        </w:rPr>
      </w:pPr>
      <w:r>
        <w:rPr>
          <w:rFonts w:eastAsiaTheme="majorEastAsia" w:cstheme="majorBidi"/>
          <w:bCs/>
          <w:szCs w:val="26"/>
        </w:rPr>
        <w:t xml:space="preserve">Motion made by </w:t>
      </w:r>
      <w:r w:rsidR="00F45844">
        <w:rPr>
          <w:rFonts w:eastAsiaTheme="majorEastAsia" w:cstheme="majorBidi"/>
          <w:bCs/>
          <w:szCs w:val="26"/>
        </w:rPr>
        <w:t>Steve Starr</w:t>
      </w:r>
      <w:r w:rsidR="00C05769">
        <w:rPr>
          <w:rFonts w:eastAsiaTheme="majorEastAsia" w:cstheme="majorBidi"/>
          <w:bCs/>
          <w:szCs w:val="26"/>
        </w:rPr>
        <w:t xml:space="preserve"> </w:t>
      </w:r>
      <w:r>
        <w:rPr>
          <w:rFonts w:eastAsiaTheme="majorEastAsia" w:cstheme="majorBidi"/>
          <w:bCs/>
          <w:szCs w:val="26"/>
        </w:rPr>
        <w:t xml:space="preserve">and seconded by </w:t>
      </w:r>
      <w:r w:rsidR="00F45844">
        <w:rPr>
          <w:rFonts w:eastAsiaTheme="majorEastAsia" w:cstheme="majorBidi"/>
          <w:bCs/>
          <w:szCs w:val="26"/>
        </w:rPr>
        <w:t>Susan Lewis</w:t>
      </w:r>
      <w:r>
        <w:rPr>
          <w:rFonts w:eastAsiaTheme="majorEastAsia" w:cstheme="majorBidi"/>
          <w:bCs/>
          <w:szCs w:val="26"/>
        </w:rPr>
        <w:t xml:space="preserve"> to approve the minutes of the last meeting</w:t>
      </w:r>
      <w:r w:rsidR="00097717">
        <w:rPr>
          <w:rFonts w:eastAsiaTheme="majorEastAsia" w:cstheme="majorBidi"/>
          <w:bCs/>
          <w:szCs w:val="26"/>
        </w:rPr>
        <w:t xml:space="preserve">. </w:t>
      </w:r>
      <w:r w:rsidR="00870468">
        <w:rPr>
          <w:rFonts w:eastAsiaTheme="majorEastAsia" w:cstheme="majorBidi"/>
          <w:bCs/>
          <w:szCs w:val="26"/>
        </w:rPr>
        <w:t>Motion Passed</w:t>
      </w:r>
      <w:r w:rsidR="00097717">
        <w:rPr>
          <w:rFonts w:eastAsiaTheme="majorEastAsia" w:cstheme="majorBidi"/>
          <w:bCs/>
          <w:szCs w:val="26"/>
        </w:rPr>
        <w:t>.</w:t>
      </w:r>
    </w:p>
    <w:p w:rsidR="009610A4" w:rsidRP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55" w:name="_Toc350939832"/>
      <w:bookmarkStart w:id="56" w:name="_Toc350939947"/>
      <w:bookmarkStart w:id="57" w:name="_Toc350940170"/>
      <w:bookmarkStart w:id="58" w:name="_Toc350940746"/>
      <w:bookmarkStart w:id="59" w:name="_Toc350940889"/>
      <w:bookmarkStart w:id="60" w:name="_Toc350941236"/>
      <w:bookmarkStart w:id="61" w:name="_Toc350941364"/>
      <w:bookmarkStart w:id="62" w:name="_Toc350942127"/>
      <w:bookmarkStart w:id="63" w:name="_Toc358702236"/>
      <w:bookmarkStart w:id="64" w:name="_Toc358702699"/>
      <w:bookmarkStart w:id="65" w:name="_Toc358702803"/>
      <w:bookmarkStart w:id="66" w:name="_Toc360168625"/>
      <w:bookmarkStart w:id="67" w:name="_Toc360169336"/>
      <w:bookmarkStart w:id="68" w:name="_Toc360170409"/>
      <w:bookmarkStart w:id="69" w:name="_Toc360193961"/>
      <w:bookmarkStart w:id="70" w:name="_Toc360194076"/>
      <w:bookmarkStart w:id="71" w:name="_Toc368986510"/>
      <w:bookmarkStart w:id="72" w:name="_Toc380153351"/>
      <w:bookmarkStart w:id="73" w:name="_Toc381686426"/>
      <w:bookmarkStart w:id="74" w:name="_Toc381686845"/>
      <w:bookmarkStart w:id="75" w:name="_Toc381691463"/>
      <w:bookmarkStart w:id="76" w:name="_Toc383078172"/>
      <w:bookmarkStart w:id="77" w:name="_Toc383078408"/>
      <w:bookmarkStart w:id="78" w:name="_Toc383163764"/>
      <w:bookmarkStart w:id="79" w:name="_Toc384042755"/>
      <w:bookmarkStart w:id="80" w:name="_Toc388531006"/>
      <w:bookmarkStart w:id="81" w:name="_Toc388531253"/>
      <w:bookmarkStart w:id="82" w:name="_Toc388534171"/>
      <w:bookmarkStart w:id="83" w:name="_Toc390067049"/>
      <w:bookmarkStart w:id="84" w:name="_Toc392158364"/>
      <w:bookmarkStart w:id="85" w:name="_Toc393438865"/>
      <w:bookmarkStart w:id="86" w:name="_Toc393441831"/>
      <w:bookmarkStart w:id="87" w:name="_Toc393442018"/>
      <w:bookmarkStart w:id="88" w:name="_Toc403115927"/>
      <w:bookmarkStart w:id="89" w:name="_Toc403466295"/>
      <w:bookmarkStart w:id="90" w:name="_Toc403466496"/>
      <w:bookmarkStart w:id="91" w:name="_Toc403466832"/>
      <w:bookmarkStart w:id="92" w:name="_Toc403466951"/>
      <w:r w:rsidRPr="009610A4">
        <w:rPr>
          <w:rFonts w:eastAsiaTheme="majorEastAsia" w:cstheme="majorBidi"/>
          <w:bCs/>
          <w:szCs w:val="26"/>
        </w:rPr>
        <w:t>Reviewed Agend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610A4">
        <w:rPr>
          <w:rFonts w:eastAsiaTheme="majorEastAsia" w:cstheme="majorBidi"/>
          <w:bCs/>
          <w:szCs w:val="26"/>
        </w:rPr>
        <w:t>a</w:t>
      </w:r>
      <w:r w:rsidR="00E236A4">
        <w:rPr>
          <w:rFonts w:eastAsiaTheme="majorEastAsia" w:cstheme="majorBidi"/>
          <w:bCs/>
          <w:szCs w:val="26"/>
        </w:rPr>
        <w:t>.</w:t>
      </w:r>
    </w:p>
    <w:p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REVIEW DELEGATION STATUS</w:t>
      </w:r>
      <w:r w:rsidR="00971AC2">
        <w:rPr>
          <w:rFonts w:eastAsiaTheme="majorEastAsia" w:cstheme="majorBidi"/>
          <w:b/>
          <w:bCs/>
          <w:caps/>
          <w:szCs w:val="28"/>
        </w:rPr>
        <w:t xml:space="preserve"> </w:t>
      </w:r>
      <w:r w:rsidRPr="009610A4">
        <w:rPr>
          <w:rFonts w:eastAsiaTheme="majorEastAsia" w:cstheme="majorBidi"/>
          <w:b/>
          <w:bCs/>
          <w:caps/>
          <w:szCs w:val="28"/>
        </w:rPr>
        <w:t>– CLOSED</w:t>
      </w:r>
    </w:p>
    <w:p w:rsidR="009610A4" w:rsidRDefault="009610A4" w:rsidP="009610A4">
      <w:pPr>
        <w:ind w:left="720"/>
      </w:pPr>
      <w:r w:rsidRPr="009610A4">
        <w:t xml:space="preserve">The delegation trackers, t-frm-07s, of the delegated audit report reviewers, </w:t>
      </w:r>
      <w:r w:rsidRPr="00F45844">
        <w:t>Mike Graham</w:t>
      </w:r>
      <w:r w:rsidRPr="009610A4">
        <w:t xml:space="preserve">, </w:t>
      </w:r>
      <w:r w:rsidRPr="00F45844">
        <w:t>Nigel Cook</w:t>
      </w:r>
      <w:r w:rsidRPr="009610A4">
        <w:t xml:space="preserve">, </w:t>
      </w:r>
      <w:r w:rsidR="00B75079" w:rsidRPr="00F45844">
        <w:t>Bill Dumas</w:t>
      </w:r>
      <w:r w:rsidR="00B75079">
        <w:t>,</w:t>
      </w:r>
      <w:r w:rsidRPr="009610A4">
        <w:t xml:space="preserve"> and </w:t>
      </w:r>
      <w:r w:rsidRPr="00F45844">
        <w:t>Robert Nixon</w:t>
      </w:r>
      <w:r w:rsidRPr="009610A4">
        <w:t xml:space="preserve"> were reviewed</w:t>
      </w:r>
      <w:r w:rsidR="00853959">
        <w:t xml:space="preserve"> and t</w:t>
      </w:r>
      <w:r w:rsidRPr="009610A4">
        <w:t>hey all exceeded criteria for maintaining delegation.</w:t>
      </w:r>
    </w:p>
    <w:p w:rsidR="00A81170" w:rsidRDefault="00A81170" w:rsidP="009610A4">
      <w:pPr>
        <w:ind w:left="720"/>
      </w:pPr>
      <w:r>
        <w:t xml:space="preserve">Motion made by </w:t>
      </w:r>
      <w:r w:rsidR="007A2913">
        <w:t>Susan Lewis</w:t>
      </w:r>
      <w:r>
        <w:t xml:space="preserve"> and seconded by</w:t>
      </w:r>
      <w:r w:rsidR="007F43A2">
        <w:t xml:space="preserve"> </w:t>
      </w:r>
      <w:r w:rsidR="007A2913">
        <w:t>Hal Abel</w:t>
      </w:r>
      <w:r w:rsidR="007F43A2">
        <w:t xml:space="preserve"> for delegated reviewers to maintain delegation. </w:t>
      </w:r>
      <w:r w:rsidR="00870468">
        <w:t>Motion Passed</w:t>
      </w:r>
      <w:r w:rsidR="007F43A2">
        <w:t>.</w:t>
      </w:r>
    </w:p>
    <w:p w:rsidR="00853959" w:rsidRDefault="00853959" w:rsidP="00853959">
      <w:pPr>
        <w:pStyle w:val="Body"/>
      </w:pPr>
      <w:r w:rsidRPr="009610A4">
        <w:t xml:space="preserve">The </w:t>
      </w:r>
      <w:r>
        <w:t xml:space="preserve">tracker for </w:t>
      </w:r>
      <w:r w:rsidRPr="00F45844">
        <w:t>John (Jack) Holman</w:t>
      </w:r>
      <w:r>
        <w:t xml:space="preserve"> was</w:t>
      </w:r>
      <w:r w:rsidRPr="009610A4">
        <w:t xml:space="preserve"> also reviewed. </w:t>
      </w:r>
      <w:r>
        <w:t>Jack has been a consultant reviewer, on and off, for many years. He has been previously delegated and we would like to request that his delegation is re-instated.</w:t>
      </w:r>
      <w:r w:rsidR="00341DB5">
        <w:t xml:space="preserve"> Jack has exceeded the procedural requirements defined in OP 1115 (12 </w:t>
      </w:r>
      <w:r w:rsidR="005F7942">
        <w:t>months’</w:t>
      </w:r>
      <w:r w:rsidR="00341DB5">
        <w:t xml:space="preserve"> experience and an oversight concurrence </w:t>
      </w:r>
      <w:r w:rsidR="00341DB5">
        <w:rPr>
          <w:rFonts w:cs="Arial"/>
        </w:rPr>
        <w:t>≥</w:t>
      </w:r>
      <w:r w:rsidR="00341DB5">
        <w:t xml:space="preserve"> 90%</w:t>
      </w:r>
      <w:r w:rsidR="007A2913">
        <w:t>)</w:t>
      </w:r>
    </w:p>
    <w:p w:rsidR="00341DB5" w:rsidRDefault="00341DB5" w:rsidP="00853959">
      <w:pPr>
        <w:pStyle w:val="Body"/>
      </w:pPr>
      <w:r>
        <w:t xml:space="preserve">Motion made by </w:t>
      </w:r>
      <w:r w:rsidR="007A2913">
        <w:t>Susan Lewis</w:t>
      </w:r>
      <w:r>
        <w:t xml:space="preserve"> and seconded by </w:t>
      </w:r>
      <w:r w:rsidR="007A2913">
        <w:t xml:space="preserve">Barry </w:t>
      </w:r>
      <w:proofErr w:type="spellStart"/>
      <w:r w:rsidR="007A2913">
        <w:t>Snitzer</w:t>
      </w:r>
      <w:proofErr w:type="spellEnd"/>
      <w:r>
        <w:t xml:space="preserve"> to award </w:t>
      </w:r>
      <w:r w:rsidR="00C86C9F">
        <w:t>John (</w:t>
      </w:r>
      <w:r>
        <w:t>Jack</w:t>
      </w:r>
      <w:r w:rsidR="00C86C9F">
        <w:t>)</w:t>
      </w:r>
      <w:r>
        <w:t xml:space="preserve"> Holman delegation status for the review of CP audits. Motion Passed.</w:t>
      </w:r>
    </w:p>
    <w:p w:rsidR="007F43A2" w:rsidRDefault="009610A4" w:rsidP="007F43A2">
      <w:pPr>
        <w:pStyle w:val="Body"/>
      </w:pPr>
      <w:r w:rsidRPr="009610A4">
        <w:t xml:space="preserve">The </w:t>
      </w:r>
      <w:r w:rsidR="00B75079">
        <w:t>tracker</w:t>
      </w:r>
      <w:r w:rsidR="00341DB5">
        <w:t>s</w:t>
      </w:r>
      <w:r w:rsidR="00B75079">
        <w:t xml:space="preserve"> for the non-delegated </w:t>
      </w:r>
      <w:r w:rsidR="00B75079" w:rsidRPr="009610A4">
        <w:t>reviewer</w:t>
      </w:r>
      <w:r w:rsidR="002C3ACA">
        <w:t>s</w:t>
      </w:r>
      <w:r w:rsidR="00B75079" w:rsidRPr="009610A4">
        <w:t xml:space="preserve"> </w:t>
      </w:r>
      <w:r w:rsidR="002C3ACA" w:rsidRPr="00372E8B">
        <w:t>Ethan Akins</w:t>
      </w:r>
      <w:r w:rsidR="001C193D">
        <w:t xml:space="preserve">, </w:t>
      </w:r>
      <w:r w:rsidR="00341DB5" w:rsidRPr="00372E8B">
        <w:t>Christine Nes</w:t>
      </w:r>
      <w:r w:rsidR="008A077B" w:rsidRPr="00372E8B">
        <w:t>b</w:t>
      </w:r>
      <w:r w:rsidR="00341DB5" w:rsidRPr="00372E8B">
        <w:t>itt</w:t>
      </w:r>
      <w:r w:rsidR="001C193D">
        <w:t xml:space="preserve"> and </w:t>
      </w:r>
      <w:r w:rsidR="001C193D" w:rsidRPr="00372E8B">
        <w:t>Aleck Featherston</w:t>
      </w:r>
      <w:r w:rsidR="00B75079" w:rsidRPr="009610A4">
        <w:t xml:space="preserve"> w</w:t>
      </w:r>
      <w:r w:rsidR="002C3ACA">
        <w:t>ere</w:t>
      </w:r>
      <w:r w:rsidRPr="009610A4">
        <w:t xml:space="preserve"> also reviewed. </w:t>
      </w:r>
      <w:r w:rsidR="004252CD">
        <w:t>There were no issues of concern.</w:t>
      </w:r>
    </w:p>
    <w:p w:rsidR="00372E8B" w:rsidRDefault="00372E8B" w:rsidP="007F43A2">
      <w:pPr>
        <w:pStyle w:val="Body"/>
      </w:pPr>
      <w:r>
        <w:t xml:space="preserve">Audit 159658 had a comment about the need to record the titration value and concentration when the supplier used a table to convert them. The Task Group agreed that </w:t>
      </w:r>
      <w:r w:rsidR="00D73596">
        <w:t>the</w:t>
      </w:r>
      <w:r>
        <w:t xml:space="preserve"> titration value, primary </w:t>
      </w:r>
      <w:r>
        <w:lastRenderedPageBreak/>
        <w:t>data, and concentration should still be recorded to demonstrate correct use of the conversion table.</w:t>
      </w:r>
    </w:p>
    <w:p w:rsidR="00D907A8" w:rsidRDefault="00535123" w:rsidP="005E76E2">
      <w:pPr>
        <w:pStyle w:val="ActionItem"/>
      </w:pPr>
      <w:r>
        <w:t>ACTION ITEM</w:t>
      </w:r>
      <w:r w:rsidR="00D907A8">
        <w:t xml:space="preserve">: Nigel Cook to </w:t>
      </w:r>
      <w:r w:rsidR="00341DB5">
        <w:t xml:space="preserve">arrange for a </w:t>
      </w:r>
      <w:r w:rsidR="00341DB5" w:rsidRPr="00341DB5">
        <w:t>t-frm-99k</w:t>
      </w:r>
      <w:r w:rsidR="00341DB5">
        <w:t xml:space="preserve"> to be completed for Jack Holman and for eAuditNet status to be amended to delegated</w:t>
      </w:r>
      <w:r w:rsidR="005E76E2">
        <w:t xml:space="preserve">. (Due Date: </w:t>
      </w:r>
      <w:r w:rsidR="00341DB5">
        <w:t>29-Feb</w:t>
      </w:r>
      <w:r w:rsidR="005E76E2">
        <w:t>-201</w:t>
      </w:r>
      <w:r w:rsidR="00341DB5">
        <w:t>6</w:t>
      </w:r>
      <w:r w:rsidR="005E76E2">
        <w:t>)</w:t>
      </w:r>
    </w:p>
    <w:p w:rsidR="009610A4" w:rsidRPr="009610A4" w:rsidRDefault="007F43A2"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SUBSCRIBER AUDITS</w:t>
      </w:r>
      <w:r w:rsidR="009610A4" w:rsidRPr="009610A4">
        <w:rPr>
          <w:rFonts w:eastAsiaTheme="majorEastAsia" w:cstheme="majorBidi"/>
          <w:b/>
          <w:bCs/>
          <w:caps/>
          <w:szCs w:val="28"/>
        </w:rPr>
        <w:t xml:space="preserve"> – CLOSED</w:t>
      </w:r>
    </w:p>
    <w:p w:rsidR="001C193D" w:rsidRDefault="00CA10A1" w:rsidP="009610A4">
      <w:pPr>
        <w:ind w:left="720"/>
      </w:pPr>
      <w:r>
        <w:t>There are no open scope exceptions.</w:t>
      </w:r>
    </w:p>
    <w:p w:rsidR="009610A4" w:rsidRPr="009610A4" w:rsidRDefault="001C193D" w:rsidP="009610A4">
      <w:pPr>
        <w:ind w:left="720"/>
      </w:pPr>
      <w:r>
        <w:t>OP 1122 which defines additional requirements for the subscriber accreditation has been amended to remove the allowance for scope exceptions. This procedure is effective for audits starting 22</w:t>
      </w:r>
      <w:r w:rsidRPr="001C193D">
        <w:rPr>
          <w:vertAlign w:val="superscript"/>
        </w:rPr>
        <w:t>nd</w:t>
      </w:r>
      <w:r>
        <w:t xml:space="preserve"> April 2016 or later.</w:t>
      </w:r>
    </w:p>
    <w:p w:rsidR="00D32BE9" w:rsidRPr="009610A4" w:rsidRDefault="00D32BE9" w:rsidP="00D32BE9">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RISK </w:t>
      </w:r>
      <w:r w:rsidR="005F7942" w:rsidRPr="009610A4">
        <w:rPr>
          <w:rFonts w:eastAsiaTheme="majorEastAsia" w:cstheme="majorBidi"/>
          <w:b/>
          <w:bCs/>
          <w:caps/>
          <w:szCs w:val="28"/>
        </w:rPr>
        <w:t xml:space="preserve">MITIGATION </w:t>
      </w:r>
      <w:r w:rsidR="005F7942">
        <w:rPr>
          <w:rFonts w:eastAsiaTheme="majorEastAsia" w:cstheme="majorBidi"/>
          <w:b/>
          <w:bCs/>
          <w:caps/>
          <w:szCs w:val="28"/>
        </w:rPr>
        <w:t>(</w:t>
      </w:r>
      <w:r>
        <w:rPr>
          <w:rFonts w:eastAsiaTheme="majorEastAsia" w:cstheme="majorBidi"/>
          <w:b/>
          <w:bCs/>
          <w:caps/>
          <w:szCs w:val="28"/>
        </w:rPr>
        <w:t xml:space="preserve">OP 1110) </w:t>
      </w:r>
      <w:r w:rsidRPr="009610A4">
        <w:rPr>
          <w:rFonts w:eastAsiaTheme="majorEastAsia" w:cstheme="majorBidi"/>
          <w:b/>
          <w:bCs/>
          <w:caps/>
          <w:szCs w:val="28"/>
        </w:rPr>
        <w:t>- CLOSED</w:t>
      </w:r>
    </w:p>
    <w:p w:rsidR="00D32BE9" w:rsidRDefault="00D32BE9" w:rsidP="00D32BE9">
      <w:pPr>
        <w:ind w:left="720"/>
      </w:pPr>
      <w:r>
        <w:t xml:space="preserve">Open discussion on how risk mitigation is going. </w:t>
      </w:r>
      <w:r w:rsidR="00F0632D">
        <w:t>Some of the</w:t>
      </w:r>
      <w:r w:rsidR="00680F41">
        <w:t xml:space="preserve"> RM </w:t>
      </w:r>
      <w:r w:rsidR="00F0632D">
        <w:t xml:space="preserve">Teams were amended and </w:t>
      </w:r>
      <w:r w:rsidR="00680F41">
        <w:t xml:space="preserve">audits </w:t>
      </w:r>
      <w:r w:rsidR="00F0632D">
        <w:t>in RM Team Review were reviewed.</w:t>
      </w:r>
    </w:p>
    <w:p w:rsidR="00D32BE9" w:rsidRPr="009610A4" w:rsidRDefault="00F0632D" w:rsidP="00D32BE9">
      <w:pPr>
        <w:ind w:left="720"/>
        <w:rPr>
          <w:rFonts w:cs="Arial"/>
          <w:szCs w:val="20"/>
        </w:rPr>
      </w:pPr>
      <w:r>
        <w:rPr>
          <w:rFonts w:cs="Arial"/>
          <w:szCs w:val="20"/>
        </w:rPr>
        <w:t>There are still concerns on a couple of issues; time taken to close RM audits, effectivity of closure when the team is just one person, workload on PRI Staff when the new RM process is introduced.</w:t>
      </w:r>
    </w:p>
    <w:p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D907A8">
        <w:rPr>
          <w:rFonts w:eastAsiaTheme="majorEastAsia" w:cstheme="majorBidi"/>
          <w:b/>
          <w:bCs/>
          <w:caps/>
          <w:szCs w:val="28"/>
        </w:rPr>
        <w:t>AUDITOR CONSISTENCY</w:t>
      </w:r>
      <w:r w:rsidRPr="009610A4">
        <w:rPr>
          <w:rFonts w:eastAsiaTheme="majorEastAsia" w:cstheme="majorBidi"/>
          <w:b/>
          <w:bCs/>
          <w:caps/>
          <w:szCs w:val="28"/>
        </w:rPr>
        <w:t xml:space="preserve"> (</w:t>
      </w:r>
      <w:r w:rsidR="00B75079">
        <w:rPr>
          <w:rFonts w:eastAsiaTheme="majorEastAsia" w:cstheme="majorBidi"/>
          <w:b/>
          <w:bCs/>
          <w:caps/>
          <w:szCs w:val="28"/>
        </w:rPr>
        <w:t>OP 1117</w:t>
      </w:r>
      <w:r w:rsidRPr="009610A4">
        <w:rPr>
          <w:rFonts w:eastAsiaTheme="majorEastAsia" w:cstheme="majorBidi"/>
          <w:b/>
          <w:bCs/>
          <w:caps/>
          <w:szCs w:val="28"/>
        </w:rPr>
        <w:t>) - CLOSED</w:t>
      </w:r>
    </w:p>
    <w:p w:rsidR="00D907A8" w:rsidRDefault="00D907A8" w:rsidP="009610A4">
      <w:pPr>
        <w:ind w:left="720"/>
      </w:pPr>
      <w:r>
        <w:t xml:space="preserve">Mike Stolze reviewed the </w:t>
      </w:r>
      <w:r w:rsidRPr="00F0632D">
        <w:t>auditor consistency presentation</w:t>
      </w:r>
      <w:r>
        <w:t>. The</w:t>
      </w:r>
      <w:r w:rsidR="0061042A">
        <w:t xml:space="preserve"> </w:t>
      </w:r>
      <w:r>
        <w:t xml:space="preserve">Task Group </w:t>
      </w:r>
      <w:r w:rsidR="00F0632D">
        <w:t>was</w:t>
      </w:r>
      <w:r>
        <w:t xml:space="preserve"> green for all dashboard metrics.</w:t>
      </w:r>
    </w:p>
    <w:p w:rsidR="00F0632D" w:rsidRDefault="00F0632D" w:rsidP="009610A4">
      <w:pPr>
        <w:ind w:left="720"/>
      </w:pPr>
      <w:r>
        <w:t>Some issues were identified pertaining to the data used for analysis of NCRs per audit, later review of the data indicated that “cancelle</w:t>
      </w:r>
      <w:r w:rsidR="00D73596">
        <w:t xml:space="preserve">d” audits had been included this reducing </w:t>
      </w:r>
      <w:r>
        <w:t xml:space="preserve">the average NCRs per audit. </w:t>
      </w:r>
      <w:r w:rsidR="00BB7433">
        <w:t>The d</w:t>
      </w:r>
      <w:r>
        <w:t xml:space="preserve">ata analysis </w:t>
      </w:r>
      <w:r w:rsidR="00BB7433">
        <w:t>for NCRs per audit is to be redone and the risk assessment chart to be amended as applicable.</w:t>
      </w:r>
    </w:p>
    <w:p w:rsidR="004F66A7" w:rsidRDefault="004F66A7" w:rsidP="009610A4">
      <w:pPr>
        <w:ind w:left="720"/>
      </w:pPr>
      <w:r>
        <w:t>The terms/column headers also need to be clear, for example it was not known if the inconsistency column was based on the redline chart or supplier feedback question 15.</w:t>
      </w:r>
    </w:p>
    <w:p w:rsidR="004F66A7" w:rsidRDefault="004F66A7" w:rsidP="009610A4">
      <w:pPr>
        <w:ind w:left="720"/>
      </w:pPr>
      <w:r>
        <w:t>A question was also asked about consistency between auditors in regions where there are limited auditors. It was reported that this is looked at as part of the data review.</w:t>
      </w:r>
    </w:p>
    <w:p w:rsidR="00F0632D" w:rsidRDefault="00D73596" w:rsidP="009610A4">
      <w:pPr>
        <w:ind w:left="720"/>
      </w:pPr>
      <w:r>
        <w:t>Nine</w:t>
      </w:r>
      <w:r w:rsidR="00BB7433">
        <w:t xml:space="preserve"> </w:t>
      </w:r>
      <w:r w:rsidR="00F0632D">
        <w:t xml:space="preserve">auditors </w:t>
      </w:r>
      <w:r>
        <w:t>were identified for observation in 2016</w:t>
      </w:r>
      <w:r w:rsidR="00BB7433">
        <w:t>.</w:t>
      </w:r>
      <w:r w:rsidR="008E6601">
        <w:t xml:space="preserve"> (Note: Need to see if any are</w:t>
      </w:r>
      <w:r>
        <w:t xml:space="preserve"> auditors identified by AQS for observation.</w:t>
      </w:r>
      <w:r w:rsidR="008E6601">
        <w:t>)</w:t>
      </w:r>
    </w:p>
    <w:p w:rsidR="00927DA9" w:rsidRDefault="00927DA9" w:rsidP="009610A4">
      <w:pPr>
        <w:ind w:left="720"/>
      </w:pPr>
      <w:r>
        <w:t>If y</w:t>
      </w:r>
      <w:r w:rsidR="001C193D">
        <w:t>ou want to observe an audit</w:t>
      </w:r>
      <w:r>
        <w:t xml:space="preserve"> please contact Robert Nixon, </w:t>
      </w:r>
      <w:hyperlink r:id="rId11" w:history="1">
        <w:r w:rsidR="0028491B" w:rsidRPr="003F3745">
          <w:rPr>
            <w:rStyle w:val="Hyperlink"/>
          </w:rPr>
          <w:t>rnixon@p-r-i.org</w:t>
        </w:r>
      </w:hyperlink>
      <w:r w:rsidR="0028491B">
        <w:t xml:space="preserve">, to </w:t>
      </w:r>
      <w:r w:rsidR="001C193D">
        <w:t>help identify one.</w:t>
      </w:r>
      <w:r w:rsidR="00BB7433">
        <w:t xml:space="preserve"> It is recommended that the prior audit history is reviewed so that audits with limited scope or few/zero NCRs are avoided.</w:t>
      </w:r>
    </w:p>
    <w:p w:rsidR="008A077B" w:rsidRDefault="00BB7433" w:rsidP="009610A4">
      <w:pPr>
        <w:ind w:left="720"/>
      </w:pPr>
      <w:r>
        <w:t>A presentation on o</w:t>
      </w:r>
      <w:r w:rsidR="008A077B" w:rsidRPr="00BB7433">
        <w:t>bse</w:t>
      </w:r>
      <w:r>
        <w:t>rver r</w:t>
      </w:r>
      <w:r w:rsidR="008A077B" w:rsidRPr="00BB7433">
        <w:t>esponsibilities</w:t>
      </w:r>
      <w:r w:rsidR="008A077B">
        <w:t xml:space="preserve">, </w:t>
      </w:r>
      <w:r>
        <w:t>provided by</w:t>
      </w:r>
      <w:r w:rsidR="008A077B">
        <w:t xml:space="preserve"> Bob Lizewski</w:t>
      </w:r>
      <w:r>
        <w:t>, was also reviewed. If you apply to observe an audit and for some reason are unable to attend then please go back to the audit summary page an</w:t>
      </w:r>
      <w:r w:rsidR="004F66A7">
        <w:t>d</w:t>
      </w:r>
      <w:r>
        <w:t xml:space="preserve"> remove yourself. This must be done before the audit is submitted.</w:t>
      </w:r>
    </w:p>
    <w:p w:rsid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RESOLUTION BY TASK GROUP ISSUES </w:t>
      </w:r>
      <w:r w:rsidR="00455415">
        <w:rPr>
          <w:rFonts w:eastAsiaTheme="majorEastAsia" w:cstheme="majorBidi"/>
          <w:b/>
          <w:bCs/>
          <w:caps/>
          <w:szCs w:val="28"/>
        </w:rPr>
        <w:t>–</w:t>
      </w:r>
      <w:r w:rsidRPr="009610A4">
        <w:rPr>
          <w:rFonts w:eastAsiaTheme="majorEastAsia" w:cstheme="majorBidi"/>
          <w:b/>
          <w:bCs/>
          <w:caps/>
          <w:szCs w:val="28"/>
        </w:rPr>
        <w:t xml:space="preserve"> CLOSED</w:t>
      </w:r>
    </w:p>
    <w:p w:rsidR="0070211D" w:rsidRDefault="0070211D" w:rsidP="0076601D">
      <w:pPr>
        <w:pStyle w:val="ListParagraph"/>
        <w:spacing w:after="0"/>
        <w:jc w:val="both"/>
      </w:pPr>
      <w:r>
        <w:rPr>
          <w:b/>
        </w:rPr>
        <w:t>IR888</w:t>
      </w:r>
      <w:r w:rsidR="00DD1755">
        <w:rPr>
          <w:b/>
        </w:rPr>
        <w:t xml:space="preserve">: </w:t>
      </w:r>
      <w:r>
        <w:t>Information was</w:t>
      </w:r>
      <w:r w:rsidR="0076601D">
        <w:t xml:space="preserve"> provided </w:t>
      </w:r>
      <w:r>
        <w:t>to the Task Group abo</w:t>
      </w:r>
      <w:r w:rsidR="0061042A">
        <w:t>ut a Nadcap accredited Supplier where stress relief/de-embrittlement was not done per requirements of QQ-P-416.</w:t>
      </w:r>
      <w:r w:rsidR="004F66A7">
        <w:t xml:space="preserve"> The Task Group requested that the company raising the concern provide details of any parts/assemblies that have been delivered to a Subscriber where the stress relief and/or de-embrittlement may not have been done or done incorrectly.</w:t>
      </w:r>
    </w:p>
    <w:p w:rsidR="004F66A7" w:rsidRDefault="004F66A7" w:rsidP="0076601D">
      <w:pPr>
        <w:pStyle w:val="ListParagraph"/>
        <w:spacing w:after="0"/>
        <w:jc w:val="both"/>
      </w:pPr>
    </w:p>
    <w:p w:rsidR="00917EB1" w:rsidRDefault="0061042A" w:rsidP="0061042A">
      <w:pPr>
        <w:pStyle w:val="ListParagraph"/>
        <w:spacing w:after="0"/>
        <w:jc w:val="both"/>
        <w:rPr>
          <w:rFonts w:cs="Arial"/>
          <w:szCs w:val="20"/>
          <w:lang w:val="en-GB"/>
        </w:rPr>
      </w:pPr>
      <w:r>
        <w:t>A s</w:t>
      </w:r>
      <w:proofErr w:type="spellStart"/>
      <w:r>
        <w:rPr>
          <w:rFonts w:cs="Arial"/>
          <w:szCs w:val="20"/>
          <w:lang w:val="en-GB"/>
        </w:rPr>
        <w:t>ub</w:t>
      </w:r>
      <w:proofErr w:type="spellEnd"/>
      <w:r>
        <w:rPr>
          <w:rFonts w:cs="Arial"/>
          <w:szCs w:val="20"/>
          <w:lang w:val="en-GB"/>
        </w:rPr>
        <w:t>-team of</w:t>
      </w:r>
      <w:r w:rsidR="00917EB1">
        <w:rPr>
          <w:rFonts w:cs="Arial"/>
          <w:szCs w:val="20"/>
          <w:lang w:val="en-GB"/>
        </w:rPr>
        <w:t xml:space="preserve"> Mike Stolze (Lead), Nick </w:t>
      </w:r>
      <w:proofErr w:type="spellStart"/>
      <w:r w:rsidR="00917EB1">
        <w:rPr>
          <w:rFonts w:cs="Arial"/>
          <w:szCs w:val="20"/>
          <w:lang w:val="en-GB"/>
        </w:rPr>
        <w:t>Magnapera</w:t>
      </w:r>
      <w:proofErr w:type="spellEnd"/>
      <w:r w:rsidR="00917EB1">
        <w:rPr>
          <w:rFonts w:cs="Arial"/>
          <w:szCs w:val="20"/>
          <w:lang w:val="en-GB"/>
        </w:rPr>
        <w:t xml:space="preserve">, </w:t>
      </w:r>
      <w:r>
        <w:rPr>
          <w:rFonts w:cs="Arial"/>
          <w:szCs w:val="20"/>
          <w:lang w:val="en-GB"/>
        </w:rPr>
        <w:t xml:space="preserve">Michael Vosatka, </w:t>
      </w:r>
      <w:proofErr w:type="spellStart"/>
      <w:r>
        <w:rPr>
          <w:rFonts w:cs="Arial"/>
          <w:szCs w:val="20"/>
          <w:lang w:val="en-GB"/>
        </w:rPr>
        <w:t>Yuhui</w:t>
      </w:r>
      <w:proofErr w:type="spellEnd"/>
      <w:r>
        <w:rPr>
          <w:rFonts w:cs="Arial"/>
          <w:szCs w:val="20"/>
          <w:lang w:val="en-GB"/>
        </w:rPr>
        <w:t xml:space="preserve"> Sun and Nigel Cook were appointed to investigate. The Complainant has been contacted on numerous occasions to </w:t>
      </w:r>
      <w:r>
        <w:rPr>
          <w:rFonts w:cs="Arial"/>
          <w:szCs w:val="20"/>
          <w:lang w:val="en-GB"/>
        </w:rPr>
        <w:lastRenderedPageBreak/>
        <w:t>obtain the information necessary to investigate the complaint (purchase order, drawing</w:t>
      </w:r>
      <w:r w:rsidR="00D73596">
        <w:rPr>
          <w:rFonts w:cs="Arial"/>
          <w:szCs w:val="20"/>
          <w:lang w:val="en-GB"/>
        </w:rPr>
        <w:t>, substrate material and heat treatment condition</w:t>
      </w:r>
      <w:r>
        <w:rPr>
          <w:rFonts w:cs="Arial"/>
          <w:szCs w:val="20"/>
          <w:lang w:val="en-GB"/>
        </w:rPr>
        <w:t xml:space="preserve">) but not all of the requested information has been provided to date. The IR has been closed based on the open RAIL item, item </w:t>
      </w:r>
      <w:r w:rsidRPr="0061042A">
        <w:rPr>
          <w:rFonts w:cs="Arial"/>
          <w:szCs w:val="20"/>
          <w:lang w:val="en-GB"/>
        </w:rPr>
        <w:t>177</w:t>
      </w:r>
      <w:r>
        <w:rPr>
          <w:rFonts w:cs="Arial"/>
          <w:szCs w:val="20"/>
          <w:lang w:val="en-GB"/>
        </w:rPr>
        <w:t>.</w:t>
      </w:r>
    </w:p>
    <w:p w:rsidR="00D73596" w:rsidRDefault="00D73596" w:rsidP="0061042A">
      <w:pPr>
        <w:pStyle w:val="ListParagraph"/>
        <w:spacing w:after="0"/>
        <w:jc w:val="both"/>
        <w:rPr>
          <w:rFonts w:cs="Arial"/>
          <w:szCs w:val="20"/>
          <w:lang w:val="en-GB"/>
        </w:rPr>
      </w:pPr>
    </w:p>
    <w:p w:rsidR="00D73596" w:rsidRDefault="00D73596" w:rsidP="0061042A">
      <w:pPr>
        <w:pStyle w:val="ListParagraph"/>
        <w:spacing w:after="0"/>
        <w:jc w:val="both"/>
        <w:rPr>
          <w:rFonts w:cs="Arial"/>
          <w:szCs w:val="20"/>
          <w:lang w:val="en-GB"/>
        </w:rPr>
      </w:pPr>
      <w:r>
        <w:rPr>
          <w:rFonts w:cs="Arial"/>
          <w:szCs w:val="20"/>
          <w:lang w:val="en-GB"/>
        </w:rPr>
        <w:t>The Task Group expressed concern</w:t>
      </w:r>
      <w:r w:rsidR="001B7BA7">
        <w:rPr>
          <w:rFonts w:cs="Arial"/>
          <w:szCs w:val="20"/>
          <w:lang w:val="en-GB"/>
        </w:rPr>
        <w:t xml:space="preserve"> as to whether any incorrectly processed parts had been delivered to them, either as parts or in assemblies.</w:t>
      </w:r>
    </w:p>
    <w:p w:rsidR="004F66A7" w:rsidRDefault="004F66A7" w:rsidP="0061042A">
      <w:pPr>
        <w:pStyle w:val="ListParagraph"/>
        <w:spacing w:after="0"/>
        <w:jc w:val="both"/>
        <w:rPr>
          <w:rFonts w:cs="Arial"/>
          <w:szCs w:val="20"/>
          <w:lang w:val="en-GB"/>
        </w:rPr>
      </w:pPr>
    </w:p>
    <w:p w:rsidR="004F66A7" w:rsidRDefault="00535123" w:rsidP="004F66A7">
      <w:pPr>
        <w:pStyle w:val="ActionItem"/>
      </w:pPr>
      <w:r>
        <w:t>ACTION ITEM</w:t>
      </w:r>
      <w:r w:rsidR="004F66A7">
        <w:t>: Nigel Cook to contact the company and request information</w:t>
      </w:r>
      <w:r w:rsidR="006678AA">
        <w:t xml:space="preserve"> on parts that have been delivered to customer but may not have been correctly stress relieved/de-</w:t>
      </w:r>
      <w:proofErr w:type="spellStart"/>
      <w:r w:rsidR="006678AA">
        <w:t>embrittled</w:t>
      </w:r>
      <w:proofErr w:type="spellEnd"/>
      <w:r w:rsidR="004F66A7">
        <w:t>. (Due Date: 15-Mar-2016)</w:t>
      </w:r>
    </w:p>
    <w:p w:rsidR="00302CE9" w:rsidRPr="00302CE9" w:rsidRDefault="00302CE9" w:rsidP="00302CE9">
      <w:pPr>
        <w:pStyle w:val="ListParagraph"/>
        <w:spacing w:after="0"/>
        <w:jc w:val="both"/>
        <w:rPr>
          <w:rFonts w:cs="Arial"/>
          <w:szCs w:val="20"/>
          <w:lang w:val="en-GB"/>
        </w:rPr>
      </w:pPr>
      <w:r w:rsidRPr="00302CE9">
        <w:rPr>
          <w:rFonts w:cs="Arial"/>
          <w:b/>
          <w:szCs w:val="20"/>
          <w:lang w:val="en-GB"/>
        </w:rPr>
        <w:t>Audit 167310 NCR#5:</w:t>
      </w:r>
      <w:r w:rsidRPr="00302CE9">
        <w:rPr>
          <w:rFonts w:cs="Arial"/>
          <w:szCs w:val="20"/>
          <w:lang w:val="en-GB"/>
        </w:rPr>
        <w:t xml:space="preserve"> Instrument manufacturer states that Eddy Current instruments cannot be given a calibration cert because they are not fixed – they are adjusted prior to use. NCR Voided and issue </w:t>
      </w:r>
      <w:r w:rsidR="001B7BA7">
        <w:rPr>
          <w:rFonts w:cs="Arial"/>
          <w:szCs w:val="20"/>
          <w:lang w:val="en-GB"/>
        </w:rPr>
        <w:t xml:space="preserve">was </w:t>
      </w:r>
      <w:r w:rsidRPr="00302CE9">
        <w:rPr>
          <w:rFonts w:cs="Arial"/>
          <w:szCs w:val="20"/>
          <w:lang w:val="en-GB"/>
        </w:rPr>
        <w:t xml:space="preserve">raised </w:t>
      </w:r>
      <w:r w:rsidR="001B7BA7">
        <w:rPr>
          <w:rFonts w:cs="Arial"/>
          <w:szCs w:val="20"/>
          <w:lang w:val="en-GB"/>
        </w:rPr>
        <w:t>here for discussion. The Task Group felt the issue affected numerous commodities and requested that the AQS Liaison raised it to the AQS T</w:t>
      </w:r>
      <w:r w:rsidR="006C5862">
        <w:rPr>
          <w:rFonts w:cs="Arial"/>
          <w:szCs w:val="20"/>
          <w:lang w:val="en-GB"/>
        </w:rPr>
        <w:t xml:space="preserve">ask Group. A sub-team </w:t>
      </w:r>
      <w:r w:rsidR="001B7BA7">
        <w:rPr>
          <w:rFonts w:cs="Arial"/>
          <w:szCs w:val="20"/>
          <w:lang w:val="en-GB"/>
        </w:rPr>
        <w:t xml:space="preserve">was also </w:t>
      </w:r>
      <w:r w:rsidR="006C5862">
        <w:rPr>
          <w:rFonts w:cs="Arial"/>
          <w:szCs w:val="20"/>
          <w:lang w:val="en-GB"/>
        </w:rPr>
        <w:t>set up to address general calibration/verification issues, see agenda item</w:t>
      </w:r>
      <w:r w:rsidR="001B7BA7">
        <w:rPr>
          <w:rFonts w:cs="Arial"/>
          <w:szCs w:val="20"/>
          <w:lang w:val="en-GB"/>
        </w:rPr>
        <w:t xml:space="preserve"> 18</w:t>
      </w:r>
      <w:r w:rsidR="006C5862">
        <w:rPr>
          <w:rFonts w:cs="Arial"/>
          <w:szCs w:val="20"/>
          <w:lang w:val="en-GB"/>
        </w:rPr>
        <w:t>.</w:t>
      </w:r>
    </w:p>
    <w:p w:rsidR="00302CE9" w:rsidRDefault="00302CE9" w:rsidP="00302CE9">
      <w:pPr>
        <w:pStyle w:val="ListParagraph"/>
        <w:spacing w:after="0"/>
        <w:jc w:val="both"/>
        <w:rPr>
          <w:rFonts w:cs="Arial"/>
          <w:szCs w:val="20"/>
          <w:lang w:val="en-GB"/>
        </w:rPr>
      </w:pPr>
    </w:p>
    <w:p w:rsidR="00302CE9" w:rsidRPr="00302CE9" w:rsidRDefault="00302CE9" w:rsidP="00302CE9">
      <w:pPr>
        <w:pStyle w:val="ListParagraph"/>
        <w:spacing w:after="0"/>
        <w:jc w:val="both"/>
        <w:rPr>
          <w:rFonts w:cs="Arial"/>
          <w:szCs w:val="20"/>
          <w:lang w:val="en-GB"/>
        </w:rPr>
      </w:pPr>
      <w:r w:rsidRPr="00302CE9">
        <w:rPr>
          <w:rFonts w:cs="Arial"/>
          <w:b/>
          <w:szCs w:val="20"/>
          <w:lang w:val="en-GB"/>
        </w:rPr>
        <w:t>Audit 168896 NCR#2:</w:t>
      </w:r>
      <w:r w:rsidRPr="00302CE9">
        <w:rPr>
          <w:rFonts w:cs="Arial"/>
          <w:szCs w:val="20"/>
          <w:lang w:val="en-GB"/>
        </w:rPr>
        <w:t xml:space="preserve">  AC7108 para 4.5.11.1 Is standardization of the pH meter carried out daily, prior to first use, using a minimum of two buffer solutions that represent both the acid and/or alkali range as applicable?</w:t>
      </w:r>
    </w:p>
    <w:p w:rsidR="00302CE9" w:rsidRPr="00302CE9" w:rsidRDefault="00302CE9" w:rsidP="00302CE9">
      <w:pPr>
        <w:pStyle w:val="ListParagraph"/>
        <w:spacing w:after="0"/>
        <w:jc w:val="both"/>
        <w:rPr>
          <w:rFonts w:cs="Arial"/>
          <w:szCs w:val="20"/>
          <w:lang w:val="en-GB"/>
        </w:rPr>
      </w:pPr>
      <w:r w:rsidRPr="00302CE9">
        <w:rPr>
          <w:rFonts w:cs="Arial"/>
          <w:szCs w:val="20"/>
          <w:lang w:val="en-GB"/>
        </w:rPr>
        <w:t>Compliance Assessment Guidance: The pH buffers used to standardi</w:t>
      </w:r>
      <w:r w:rsidR="002A69FD">
        <w:rPr>
          <w:rFonts w:cs="Arial"/>
          <w:szCs w:val="20"/>
          <w:lang w:val="en-GB"/>
        </w:rPr>
        <w:t>z</w:t>
      </w:r>
      <w:r w:rsidRPr="00302CE9">
        <w:rPr>
          <w:rFonts w:cs="Arial"/>
          <w:szCs w:val="20"/>
          <w:lang w:val="en-GB"/>
        </w:rPr>
        <w:t>e the meter need to represent the acid and/or alkali ranges but do not need to bracket the full pH range of samples being tested. Typical pH kits include pH 4, 7 and 10 buffer solutions and the use of the most appropriate two is acceptable.</w:t>
      </w:r>
    </w:p>
    <w:p w:rsidR="00302CE9" w:rsidRDefault="00302CE9" w:rsidP="00302CE9">
      <w:pPr>
        <w:pStyle w:val="ListParagraph"/>
        <w:spacing w:after="0"/>
        <w:jc w:val="both"/>
        <w:rPr>
          <w:rFonts w:cs="Arial"/>
          <w:szCs w:val="20"/>
          <w:lang w:val="en-GB"/>
        </w:rPr>
      </w:pPr>
    </w:p>
    <w:p w:rsidR="00302CE9" w:rsidRDefault="00302CE9" w:rsidP="00302CE9">
      <w:pPr>
        <w:pStyle w:val="ListParagraph"/>
        <w:spacing w:after="0"/>
        <w:jc w:val="both"/>
        <w:rPr>
          <w:rFonts w:cs="Arial"/>
          <w:szCs w:val="20"/>
          <w:lang w:val="en-GB"/>
        </w:rPr>
      </w:pPr>
      <w:r w:rsidRPr="00302CE9">
        <w:rPr>
          <w:rFonts w:cs="Arial"/>
          <w:szCs w:val="20"/>
          <w:lang w:val="en-GB"/>
        </w:rPr>
        <w:t>D1-4426, Process code 809, "Process Solution Control", Appendix A2, 7.4.9 Buffer solutions are required to bracket the pH ranges to be measured.</w:t>
      </w:r>
    </w:p>
    <w:p w:rsidR="006C5862" w:rsidRDefault="006C5862" w:rsidP="00302CE9">
      <w:pPr>
        <w:pStyle w:val="ListParagraph"/>
        <w:spacing w:after="0"/>
        <w:jc w:val="both"/>
        <w:rPr>
          <w:rFonts w:cs="Arial"/>
          <w:szCs w:val="20"/>
          <w:lang w:val="en-GB"/>
        </w:rPr>
      </w:pPr>
    </w:p>
    <w:p w:rsidR="006C5862" w:rsidRPr="00302CE9" w:rsidRDefault="006C5862" w:rsidP="00302CE9">
      <w:pPr>
        <w:pStyle w:val="ListParagraph"/>
        <w:spacing w:after="0"/>
        <w:jc w:val="both"/>
        <w:rPr>
          <w:rFonts w:cs="Arial"/>
          <w:szCs w:val="20"/>
          <w:lang w:val="en-GB"/>
        </w:rPr>
      </w:pPr>
      <w:r>
        <w:rPr>
          <w:rFonts w:cs="Arial"/>
          <w:szCs w:val="20"/>
          <w:lang w:val="en-GB"/>
        </w:rPr>
        <w:t>A sub-team was set up to investigate calibration of pH meters, see agenda item</w:t>
      </w:r>
      <w:r w:rsidR="001B7BA7">
        <w:rPr>
          <w:rFonts w:cs="Arial"/>
          <w:szCs w:val="20"/>
          <w:lang w:val="en-GB"/>
        </w:rPr>
        <w:t xml:space="preserve"> 18</w:t>
      </w:r>
      <w:r>
        <w:rPr>
          <w:rFonts w:cs="Arial"/>
          <w:szCs w:val="20"/>
          <w:lang w:val="en-GB"/>
        </w:rPr>
        <w:t>.</w:t>
      </w:r>
    </w:p>
    <w:p w:rsidR="00302CE9" w:rsidRDefault="00302CE9" w:rsidP="00302CE9">
      <w:pPr>
        <w:pStyle w:val="ListParagraph"/>
        <w:spacing w:after="0"/>
        <w:jc w:val="both"/>
        <w:rPr>
          <w:rFonts w:cs="Arial"/>
          <w:szCs w:val="20"/>
          <w:lang w:val="en-GB"/>
        </w:rPr>
      </w:pPr>
    </w:p>
    <w:p w:rsidR="00302CE9" w:rsidRDefault="00302CE9" w:rsidP="00302CE9">
      <w:pPr>
        <w:pStyle w:val="ListParagraph"/>
        <w:spacing w:after="0"/>
        <w:jc w:val="both"/>
        <w:rPr>
          <w:rFonts w:cs="Arial"/>
          <w:szCs w:val="20"/>
          <w:lang w:val="en-GB"/>
        </w:rPr>
      </w:pPr>
      <w:r w:rsidRPr="00302CE9">
        <w:rPr>
          <w:rFonts w:cs="Arial"/>
          <w:b/>
          <w:szCs w:val="20"/>
          <w:lang w:val="en-GB"/>
        </w:rPr>
        <w:t>Audit 166005 NCR#1:</w:t>
      </w:r>
      <w:r w:rsidR="006C5862">
        <w:rPr>
          <w:rFonts w:cs="Arial"/>
          <w:szCs w:val="20"/>
          <w:lang w:val="en-GB"/>
        </w:rPr>
        <w:t xml:space="preserve"> An NCR was raised because the auditor considered the design of racking, using horizontal “L” beams, co</w:t>
      </w:r>
      <w:r w:rsidR="00D406BD">
        <w:rPr>
          <w:rFonts w:cs="Arial"/>
          <w:szCs w:val="20"/>
          <w:lang w:val="en-GB"/>
        </w:rPr>
        <w:t>uld have been improved because the bottom of the “L” would retain and carry over more solution than a surface that always pointed down. Although no other NCRs had been raised for this issue a concern was raised by the staff engineer that it may become common. The Task Group felt that because it is an isolated NCR no further action is to be taken.</w:t>
      </w:r>
    </w:p>
    <w:p w:rsidR="00302CE9" w:rsidRPr="00302CE9" w:rsidRDefault="00302CE9" w:rsidP="00302CE9">
      <w:pPr>
        <w:pStyle w:val="ListParagraph"/>
        <w:spacing w:after="0"/>
        <w:jc w:val="both"/>
        <w:rPr>
          <w:rFonts w:cs="Arial"/>
          <w:szCs w:val="20"/>
          <w:lang w:val="en-GB"/>
        </w:rPr>
      </w:pPr>
    </w:p>
    <w:p w:rsidR="00302CE9" w:rsidRPr="00302CE9" w:rsidRDefault="00302CE9" w:rsidP="001B7BA7">
      <w:pPr>
        <w:pStyle w:val="ListParagraph"/>
        <w:spacing w:after="0"/>
        <w:jc w:val="both"/>
        <w:rPr>
          <w:rFonts w:cs="Arial"/>
          <w:szCs w:val="20"/>
          <w:lang w:val="en-GB"/>
        </w:rPr>
      </w:pPr>
      <w:r w:rsidRPr="00302CE9">
        <w:rPr>
          <w:rFonts w:cs="Arial"/>
          <w:b/>
          <w:szCs w:val="20"/>
          <w:lang w:val="en-GB"/>
        </w:rPr>
        <w:t>Audit 162892 NCR#3:</w:t>
      </w:r>
      <w:r w:rsidRPr="00302CE9">
        <w:rPr>
          <w:rFonts w:cs="Arial"/>
          <w:szCs w:val="20"/>
          <w:lang w:val="en-GB"/>
        </w:rPr>
        <w:t xml:space="preserve"> Several suppliers (including this one) are objecting to the new CAG in 5.3.14 on insulated cranes for all processes (not </w:t>
      </w:r>
      <w:r w:rsidR="001B7BA7">
        <w:rPr>
          <w:rFonts w:cs="Arial"/>
          <w:szCs w:val="20"/>
          <w:lang w:val="en-GB"/>
        </w:rPr>
        <w:t xml:space="preserve">just electrolytic). This is one </w:t>
      </w:r>
      <w:r w:rsidRPr="00302CE9">
        <w:rPr>
          <w:rFonts w:cs="Arial"/>
          <w:szCs w:val="20"/>
          <w:lang w:val="en-GB"/>
        </w:rPr>
        <w:t>question in a series (Rev. B checklist) applicable to electrolytic, and I question the CAG validity.</w:t>
      </w:r>
    </w:p>
    <w:p w:rsidR="00302CE9" w:rsidRPr="00302CE9" w:rsidRDefault="00302CE9" w:rsidP="00302CE9">
      <w:pPr>
        <w:pStyle w:val="ListParagraph"/>
        <w:spacing w:after="0"/>
        <w:jc w:val="both"/>
        <w:rPr>
          <w:rFonts w:cs="Arial"/>
          <w:szCs w:val="20"/>
          <w:lang w:val="en-GB"/>
        </w:rPr>
      </w:pPr>
      <w:r w:rsidRPr="00302CE9">
        <w:rPr>
          <w:rFonts w:cs="Arial"/>
          <w:szCs w:val="20"/>
          <w:lang w:val="en-GB"/>
        </w:rPr>
        <w:t xml:space="preserve">Supplier Response:  </w:t>
      </w:r>
      <w:r w:rsidR="001B7BA7">
        <w:rPr>
          <w:rFonts w:cs="Arial"/>
          <w:szCs w:val="20"/>
          <w:lang w:val="en-GB"/>
        </w:rPr>
        <w:t>R</w:t>
      </w:r>
      <w:r w:rsidRPr="00302CE9">
        <w:rPr>
          <w:rFonts w:cs="Arial"/>
          <w:szCs w:val="20"/>
          <w:lang w:val="en-GB"/>
        </w:rPr>
        <w:t xml:space="preserve">espectfully requests to void this NCR / appeal issuance of this NCR until such time that a revision to the checklist question can be discussed in the February meeting in Madrid, Spain. </w:t>
      </w:r>
      <w:r w:rsidR="001B7BA7">
        <w:rPr>
          <w:rFonts w:cs="Arial"/>
          <w:szCs w:val="20"/>
          <w:lang w:val="en-GB"/>
        </w:rPr>
        <w:t>Their</w:t>
      </w:r>
      <w:r w:rsidRPr="00302CE9">
        <w:rPr>
          <w:rFonts w:cs="Arial"/>
          <w:szCs w:val="20"/>
          <w:lang w:val="en-GB"/>
        </w:rPr>
        <w:t xml:space="preserve"> Equipment Engineering and Process Engineering personnel evaluated current equipment to Nadcap requirements and assessed </w:t>
      </w:r>
      <w:r w:rsidR="001B7BA7">
        <w:rPr>
          <w:rFonts w:cs="Arial"/>
          <w:szCs w:val="20"/>
          <w:lang w:val="en-GB"/>
        </w:rPr>
        <w:t>their</w:t>
      </w:r>
      <w:r w:rsidRPr="00302CE9">
        <w:rPr>
          <w:rFonts w:cs="Arial"/>
          <w:szCs w:val="20"/>
          <w:lang w:val="en-GB"/>
        </w:rPr>
        <w:t xml:space="preserve"> compliance based upon technical rationale. </w:t>
      </w:r>
      <w:r w:rsidR="001B7BA7">
        <w:rPr>
          <w:rFonts w:cs="Arial"/>
          <w:szCs w:val="20"/>
          <w:lang w:val="en-GB"/>
        </w:rPr>
        <w:t>They do</w:t>
      </w:r>
      <w:r w:rsidRPr="00302CE9">
        <w:rPr>
          <w:rFonts w:cs="Arial"/>
          <w:szCs w:val="20"/>
          <w:lang w:val="en-GB"/>
        </w:rPr>
        <w:t xml:space="preserve"> not believe </w:t>
      </w:r>
      <w:r w:rsidR="00DF3092">
        <w:rPr>
          <w:rFonts w:cs="Arial"/>
          <w:szCs w:val="20"/>
          <w:lang w:val="en-GB"/>
        </w:rPr>
        <w:t>they</w:t>
      </w:r>
      <w:r w:rsidRPr="00302CE9">
        <w:rPr>
          <w:rFonts w:cs="Arial"/>
          <w:szCs w:val="20"/>
          <w:lang w:val="en-GB"/>
        </w:rPr>
        <w:t xml:space="preserve"> are noncompliant with the intent of the Nadcap checklist and the implementation of corrective action based on the comments/expectations of the Nadcap auditor could result in significant non-value added expenses.</w:t>
      </w:r>
    </w:p>
    <w:p w:rsidR="00302CE9" w:rsidRPr="00302CE9" w:rsidRDefault="00302CE9" w:rsidP="00302CE9">
      <w:pPr>
        <w:pStyle w:val="ListParagraph"/>
        <w:spacing w:after="0"/>
        <w:jc w:val="both"/>
        <w:rPr>
          <w:rFonts w:cs="Arial"/>
          <w:szCs w:val="20"/>
          <w:lang w:val="en-GB"/>
        </w:rPr>
      </w:pPr>
      <w:r w:rsidRPr="00302CE9">
        <w:rPr>
          <w:rFonts w:cs="Arial"/>
          <w:szCs w:val="20"/>
          <w:lang w:val="en-GB"/>
        </w:rPr>
        <w:t>As reviewed and validated by Jeff Zhang, Ph. D, Chemical Materials &amp; Processes R&amp;D (Spirit Engineering):</w:t>
      </w:r>
    </w:p>
    <w:p w:rsidR="00302CE9" w:rsidRPr="00302CE9" w:rsidRDefault="00302CE9" w:rsidP="00302CE9">
      <w:pPr>
        <w:pStyle w:val="ListParagraph"/>
        <w:spacing w:after="0"/>
        <w:jc w:val="both"/>
        <w:rPr>
          <w:rFonts w:cs="Arial"/>
          <w:szCs w:val="20"/>
          <w:lang w:val="en-GB"/>
        </w:rPr>
      </w:pPr>
      <w:r w:rsidRPr="00302CE9">
        <w:rPr>
          <w:rFonts w:cs="Arial"/>
          <w:szCs w:val="20"/>
          <w:lang w:val="en-GB"/>
        </w:rPr>
        <w:t>At Spirit, electrical isolation is achieved by eliminating potential discrepancy between the parts and the processing tank wall through grounding all conductive materials in the tank.</w:t>
      </w:r>
    </w:p>
    <w:p w:rsidR="00302CE9" w:rsidRPr="00302CE9" w:rsidRDefault="00302CE9" w:rsidP="00302CE9">
      <w:pPr>
        <w:pStyle w:val="ListParagraph"/>
        <w:spacing w:after="0"/>
        <w:jc w:val="both"/>
        <w:rPr>
          <w:rFonts w:cs="Arial"/>
          <w:szCs w:val="20"/>
          <w:lang w:val="en-GB"/>
        </w:rPr>
      </w:pPr>
      <w:r w:rsidRPr="00302CE9">
        <w:rPr>
          <w:rFonts w:cs="Arial"/>
          <w:szCs w:val="20"/>
          <w:lang w:val="en-GB"/>
        </w:rPr>
        <w:t>General Design:</w:t>
      </w:r>
    </w:p>
    <w:p w:rsidR="00302CE9" w:rsidRPr="00302CE9" w:rsidRDefault="00302CE9" w:rsidP="00302CE9">
      <w:pPr>
        <w:pStyle w:val="ListParagraph"/>
        <w:spacing w:after="0"/>
        <w:jc w:val="both"/>
        <w:rPr>
          <w:rFonts w:cs="Arial"/>
          <w:szCs w:val="20"/>
          <w:lang w:val="en-GB"/>
        </w:rPr>
      </w:pPr>
      <w:r w:rsidRPr="00302CE9">
        <w:rPr>
          <w:rFonts w:cs="Arial"/>
          <w:szCs w:val="20"/>
          <w:lang w:val="en-GB"/>
        </w:rPr>
        <w:t>1. The hoists / lifting equipment are using 3-phase AC electricity with voltage of 480 Volts and current between 20 and 40 amps depending of the capacity of the equipment. The motors driving the crane and cable winding drums use the AC electricity and are insulated from the crane. The crane is grounded to the building steel which connects to the electrical ground grid. The auxiliary equipment on the crane including cable-winding system, motor case is grounded through the crane as well.</w:t>
      </w:r>
    </w:p>
    <w:p w:rsidR="00302CE9" w:rsidRPr="00302CE9" w:rsidRDefault="00302CE9" w:rsidP="00302CE9">
      <w:pPr>
        <w:pStyle w:val="ListParagraph"/>
        <w:spacing w:after="0"/>
        <w:jc w:val="both"/>
        <w:rPr>
          <w:rFonts w:cs="Arial"/>
          <w:szCs w:val="20"/>
          <w:lang w:val="en-GB"/>
        </w:rPr>
      </w:pPr>
      <w:r w:rsidRPr="00302CE9">
        <w:rPr>
          <w:rFonts w:cs="Arial"/>
          <w:szCs w:val="20"/>
          <w:lang w:val="en-GB"/>
        </w:rPr>
        <w:lastRenderedPageBreak/>
        <w:t>2. All chemical processing tanks made of stainless steel are grounded to the same electric ground grid.</w:t>
      </w:r>
    </w:p>
    <w:p w:rsidR="00302CE9" w:rsidRPr="00302CE9" w:rsidRDefault="00302CE9" w:rsidP="00302CE9">
      <w:pPr>
        <w:pStyle w:val="ListParagraph"/>
        <w:spacing w:after="0"/>
        <w:jc w:val="both"/>
        <w:rPr>
          <w:rFonts w:cs="Arial"/>
          <w:szCs w:val="20"/>
          <w:lang w:val="en-GB"/>
        </w:rPr>
      </w:pPr>
      <w:r w:rsidRPr="00302CE9">
        <w:rPr>
          <w:rFonts w:cs="Arial"/>
          <w:szCs w:val="20"/>
          <w:lang w:val="en-GB"/>
        </w:rPr>
        <w:t>3. Parts loaded on the stainless steel / titanium frame / basket are grounded through the crane cable and metal wires.</w:t>
      </w:r>
    </w:p>
    <w:p w:rsidR="00302CE9" w:rsidRPr="00302CE9" w:rsidRDefault="00302CE9" w:rsidP="00302CE9">
      <w:pPr>
        <w:pStyle w:val="ListParagraph"/>
        <w:spacing w:after="0"/>
        <w:jc w:val="both"/>
        <w:rPr>
          <w:rFonts w:cs="Arial"/>
          <w:szCs w:val="20"/>
          <w:lang w:val="en-GB"/>
        </w:rPr>
      </w:pPr>
      <w:r w:rsidRPr="00302CE9">
        <w:rPr>
          <w:rFonts w:cs="Arial"/>
          <w:szCs w:val="20"/>
          <w:lang w:val="en-GB"/>
        </w:rPr>
        <w:t>With this design, the parts, crane and tank wall are all grounded to the same electric ground grid, therefore, no potential difference exists between the parts and tank wall in the chemical solution.</w:t>
      </w:r>
    </w:p>
    <w:p w:rsidR="00984DF0" w:rsidRDefault="00302CE9" w:rsidP="00302CE9">
      <w:pPr>
        <w:pStyle w:val="ListParagraph"/>
        <w:spacing w:after="0"/>
        <w:jc w:val="both"/>
        <w:rPr>
          <w:rFonts w:cs="Arial"/>
          <w:szCs w:val="20"/>
          <w:lang w:val="en-GB"/>
        </w:rPr>
      </w:pPr>
      <w:r w:rsidRPr="00302CE9">
        <w:rPr>
          <w:rFonts w:cs="Arial"/>
          <w:szCs w:val="20"/>
          <w:lang w:val="en-GB"/>
        </w:rPr>
        <w:t>While in electrolytic solutions, the hoists/lifting systems are disconnected from the stainless steel/titanium frames/baskets which enables the required potential difference between anode and cathode.</w:t>
      </w:r>
    </w:p>
    <w:p w:rsidR="00347C46" w:rsidRDefault="00347C46" w:rsidP="00302CE9">
      <w:pPr>
        <w:pStyle w:val="ListParagraph"/>
        <w:spacing w:after="0"/>
        <w:jc w:val="both"/>
        <w:rPr>
          <w:rFonts w:cs="Arial"/>
          <w:szCs w:val="20"/>
          <w:lang w:val="en-GB"/>
        </w:rPr>
      </w:pPr>
    </w:p>
    <w:p w:rsidR="00347C46" w:rsidRDefault="00347C46" w:rsidP="00302CE9">
      <w:pPr>
        <w:pStyle w:val="ListParagraph"/>
        <w:spacing w:after="0"/>
        <w:jc w:val="both"/>
        <w:rPr>
          <w:rFonts w:cs="Arial"/>
          <w:szCs w:val="20"/>
          <w:lang w:val="en-GB"/>
        </w:rPr>
      </w:pPr>
      <w:r>
        <w:rPr>
          <w:rFonts w:cs="Arial"/>
          <w:szCs w:val="20"/>
          <w:lang w:val="en-GB"/>
        </w:rPr>
        <w:t xml:space="preserve">Motion made by </w:t>
      </w:r>
      <w:r w:rsidR="00C81A4F">
        <w:rPr>
          <w:rFonts w:cs="Arial"/>
          <w:szCs w:val="20"/>
          <w:lang w:val="en-GB"/>
        </w:rPr>
        <w:t xml:space="preserve">Shawn </w:t>
      </w:r>
      <w:r w:rsidR="00DF3092">
        <w:rPr>
          <w:rFonts w:cs="Arial"/>
          <w:szCs w:val="20"/>
          <w:lang w:val="en-GB"/>
        </w:rPr>
        <w:t xml:space="preserve">Vierthaler </w:t>
      </w:r>
      <w:r w:rsidR="00C81A4F">
        <w:rPr>
          <w:rFonts w:cs="Arial"/>
          <w:szCs w:val="20"/>
          <w:lang w:val="en-GB"/>
        </w:rPr>
        <w:t>and seconded by Hal</w:t>
      </w:r>
      <w:r w:rsidR="00DF3092">
        <w:rPr>
          <w:rFonts w:cs="Arial"/>
          <w:szCs w:val="20"/>
          <w:lang w:val="en-GB"/>
        </w:rPr>
        <w:t xml:space="preserve"> Abel</w:t>
      </w:r>
      <w:r w:rsidR="00C81A4F">
        <w:rPr>
          <w:rFonts w:cs="Arial"/>
          <w:szCs w:val="20"/>
          <w:lang w:val="en-GB"/>
        </w:rPr>
        <w:t xml:space="preserve"> to set up a sub-team to </w:t>
      </w:r>
      <w:r w:rsidR="00D406BD">
        <w:rPr>
          <w:rFonts w:cs="Arial"/>
          <w:szCs w:val="20"/>
          <w:lang w:val="en-GB"/>
        </w:rPr>
        <w:t xml:space="preserve">investigate the need for the work to be electrically isolated/insulated from the crane hook and </w:t>
      </w:r>
      <w:r w:rsidR="00C81A4F">
        <w:rPr>
          <w:rFonts w:cs="Arial"/>
          <w:szCs w:val="20"/>
          <w:lang w:val="en-GB"/>
        </w:rPr>
        <w:t>reword the question</w:t>
      </w:r>
      <w:r w:rsidR="00D406BD">
        <w:rPr>
          <w:rFonts w:cs="Arial"/>
          <w:szCs w:val="20"/>
          <w:lang w:val="en-GB"/>
        </w:rPr>
        <w:t xml:space="preserve"> appropriately</w:t>
      </w:r>
      <w:r w:rsidR="00C81A4F">
        <w:rPr>
          <w:rFonts w:cs="Arial"/>
          <w:szCs w:val="20"/>
          <w:lang w:val="en-GB"/>
        </w:rPr>
        <w:t>. Motion passed.</w:t>
      </w:r>
    </w:p>
    <w:p w:rsidR="00C81A4F" w:rsidRDefault="00C81A4F" w:rsidP="00302CE9">
      <w:pPr>
        <w:pStyle w:val="ListParagraph"/>
        <w:spacing w:after="0"/>
        <w:jc w:val="both"/>
        <w:rPr>
          <w:rFonts w:cs="Arial"/>
          <w:szCs w:val="20"/>
          <w:lang w:val="en-GB"/>
        </w:rPr>
      </w:pPr>
    </w:p>
    <w:p w:rsidR="00C81A4F" w:rsidRDefault="00C81A4F" w:rsidP="00302CE9">
      <w:pPr>
        <w:pStyle w:val="ListParagraph"/>
        <w:spacing w:after="0"/>
        <w:jc w:val="both"/>
        <w:rPr>
          <w:rFonts w:cs="Arial"/>
          <w:szCs w:val="20"/>
          <w:lang w:val="en-GB"/>
        </w:rPr>
      </w:pPr>
      <w:r>
        <w:rPr>
          <w:rFonts w:cs="Arial"/>
          <w:szCs w:val="20"/>
          <w:lang w:val="en-GB"/>
        </w:rPr>
        <w:t xml:space="preserve">Sub-Team: Shawn </w:t>
      </w:r>
      <w:r w:rsidR="00D406BD">
        <w:rPr>
          <w:rFonts w:cs="Arial"/>
          <w:szCs w:val="20"/>
          <w:lang w:val="en-GB"/>
        </w:rPr>
        <w:t xml:space="preserve">Vierthaler </w:t>
      </w:r>
      <w:r>
        <w:rPr>
          <w:rFonts w:cs="Arial"/>
          <w:szCs w:val="20"/>
          <w:lang w:val="en-GB"/>
        </w:rPr>
        <w:t>(lead), Hal, Nigel, Paul Slater, Carleen Brubaker.</w:t>
      </w:r>
    </w:p>
    <w:p w:rsidR="00D406BD" w:rsidRDefault="00D406BD" w:rsidP="00302CE9">
      <w:pPr>
        <w:pStyle w:val="ListParagraph"/>
        <w:spacing w:after="0"/>
        <w:jc w:val="both"/>
        <w:rPr>
          <w:rFonts w:cs="Arial"/>
          <w:szCs w:val="20"/>
          <w:lang w:val="en-GB"/>
        </w:rPr>
      </w:pPr>
    </w:p>
    <w:p w:rsidR="00D406BD" w:rsidRDefault="00535123" w:rsidP="006678AA">
      <w:pPr>
        <w:pStyle w:val="ActionItem"/>
        <w:rPr>
          <w:lang w:val="en-GB"/>
        </w:rPr>
      </w:pPr>
      <w:r>
        <w:t>ACTION ITEM</w:t>
      </w:r>
      <w:r w:rsidR="00D406BD">
        <w:t xml:space="preserve">: A sub-team of </w:t>
      </w:r>
      <w:r w:rsidR="000769EF">
        <w:rPr>
          <w:lang w:val="en-GB"/>
        </w:rPr>
        <w:t>Shawn Vierthaler (L</w:t>
      </w:r>
      <w:r w:rsidR="006678AA">
        <w:rPr>
          <w:lang w:val="en-GB"/>
        </w:rPr>
        <w:t xml:space="preserve">ead), Hal Abel, Nigel Cook, Paul Slater, Carleen Brubaker was set up </w:t>
      </w:r>
      <w:r w:rsidR="00D406BD">
        <w:rPr>
          <w:lang w:val="en-GB"/>
        </w:rPr>
        <w:t xml:space="preserve">to investigate the need for the work to be electrically isolated/insulated from the crane hook and reword </w:t>
      </w:r>
      <w:r w:rsidR="006678AA">
        <w:rPr>
          <w:lang w:val="en-GB"/>
        </w:rPr>
        <w:t xml:space="preserve">AC7108 para </w:t>
      </w:r>
      <w:r w:rsidR="006678AA" w:rsidRPr="00302CE9">
        <w:rPr>
          <w:lang w:val="en-GB"/>
        </w:rPr>
        <w:t>5.3.14</w:t>
      </w:r>
      <w:r w:rsidR="006678AA">
        <w:rPr>
          <w:lang w:val="en-GB"/>
        </w:rPr>
        <w:t xml:space="preserve"> accordingly</w:t>
      </w:r>
      <w:r w:rsidR="00D406BD">
        <w:t xml:space="preserve">. (Due Date: </w:t>
      </w:r>
      <w:r w:rsidR="006678AA">
        <w:t>20</w:t>
      </w:r>
      <w:r w:rsidR="00D406BD">
        <w:t>-</w:t>
      </w:r>
      <w:r w:rsidR="006678AA">
        <w:t>Jun</w:t>
      </w:r>
      <w:r w:rsidR="00D406BD">
        <w:t>-2016)</w:t>
      </w:r>
    </w:p>
    <w:p w:rsidR="00FC1AF8" w:rsidRPr="00FC1AF8" w:rsidRDefault="00FC1AF8" w:rsidP="00FC1AF8">
      <w:pPr>
        <w:pStyle w:val="ListParagraph"/>
        <w:spacing w:after="0"/>
        <w:jc w:val="both"/>
        <w:rPr>
          <w:rFonts w:cs="Arial"/>
          <w:szCs w:val="20"/>
          <w:lang w:val="en-GB"/>
        </w:rPr>
      </w:pPr>
      <w:r w:rsidRPr="00FC1AF8">
        <w:rPr>
          <w:rFonts w:cs="Arial"/>
          <w:b/>
          <w:szCs w:val="20"/>
          <w:lang w:val="en-GB"/>
        </w:rPr>
        <w:t>Audit 168146 NCR#1:</w:t>
      </w:r>
      <w:r>
        <w:rPr>
          <w:rFonts w:cs="Arial"/>
          <w:szCs w:val="20"/>
          <w:lang w:val="en-GB"/>
        </w:rPr>
        <w:t xml:space="preserve"> </w:t>
      </w:r>
      <w:r w:rsidRPr="00FC1AF8">
        <w:rPr>
          <w:rFonts w:cs="Arial"/>
          <w:szCs w:val="20"/>
          <w:lang w:val="en-GB"/>
        </w:rPr>
        <w:t xml:space="preserve">Requirement: Per </w:t>
      </w:r>
      <w:r>
        <w:rPr>
          <w:rFonts w:cs="Arial"/>
          <w:szCs w:val="20"/>
          <w:lang w:val="en-GB"/>
        </w:rPr>
        <w:t>ASTM A</w:t>
      </w:r>
      <w:r w:rsidRPr="00FC1AF8">
        <w:rPr>
          <w:rFonts w:cs="Arial"/>
          <w:szCs w:val="20"/>
          <w:lang w:val="en-GB"/>
        </w:rPr>
        <w:t>967 para 14.4.3 "test pi</w:t>
      </w:r>
      <w:r>
        <w:rPr>
          <w:rFonts w:cs="Arial"/>
          <w:szCs w:val="20"/>
          <w:lang w:val="en-GB"/>
        </w:rPr>
        <w:t>ece swabbed" This refers to CuSO</w:t>
      </w:r>
      <w:r w:rsidRPr="00FC1AF8">
        <w:rPr>
          <w:rFonts w:cs="Arial"/>
          <w:szCs w:val="20"/>
          <w:lang w:val="en-GB"/>
        </w:rPr>
        <w:t xml:space="preserve">4 passivation test requirement. </w:t>
      </w:r>
    </w:p>
    <w:p w:rsidR="00FC1AF8" w:rsidRPr="00FC1AF8" w:rsidRDefault="00FC1AF8" w:rsidP="00FC1AF8">
      <w:pPr>
        <w:pStyle w:val="ListParagraph"/>
        <w:spacing w:after="0"/>
        <w:jc w:val="both"/>
        <w:rPr>
          <w:rFonts w:cs="Arial"/>
          <w:szCs w:val="20"/>
          <w:lang w:val="en-GB"/>
        </w:rPr>
      </w:pPr>
      <w:r>
        <w:rPr>
          <w:rFonts w:cs="Arial"/>
          <w:szCs w:val="20"/>
          <w:lang w:val="en-GB"/>
        </w:rPr>
        <w:t>Finding</w:t>
      </w:r>
      <w:r w:rsidRPr="00FC1AF8">
        <w:rPr>
          <w:rFonts w:cs="Arial"/>
          <w:szCs w:val="20"/>
          <w:lang w:val="en-GB"/>
        </w:rPr>
        <w:t>:</w:t>
      </w:r>
      <w:r>
        <w:rPr>
          <w:rFonts w:cs="Arial"/>
          <w:szCs w:val="20"/>
          <w:lang w:val="en-GB"/>
        </w:rPr>
        <w:t xml:space="preserve"> </w:t>
      </w:r>
      <w:r w:rsidRPr="00FC1AF8">
        <w:rPr>
          <w:rFonts w:cs="Arial"/>
          <w:szCs w:val="20"/>
          <w:lang w:val="en-GB"/>
        </w:rPr>
        <w:t xml:space="preserve">During the </w:t>
      </w:r>
      <w:r>
        <w:rPr>
          <w:rFonts w:cs="Arial"/>
          <w:szCs w:val="20"/>
          <w:lang w:val="en-GB"/>
        </w:rPr>
        <w:t>CuSO</w:t>
      </w:r>
      <w:r w:rsidR="00DF3092">
        <w:rPr>
          <w:rFonts w:cs="Arial"/>
          <w:szCs w:val="20"/>
          <w:lang w:val="en-GB"/>
        </w:rPr>
        <w:t>4 passivation test</w:t>
      </w:r>
      <w:r w:rsidRPr="00FC1AF8">
        <w:rPr>
          <w:rFonts w:cs="Arial"/>
          <w:szCs w:val="20"/>
          <w:lang w:val="en-GB"/>
        </w:rPr>
        <w:t xml:space="preserve">, the part was submerged in beaker 100% covered with </w:t>
      </w:r>
      <w:r>
        <w:rPr>
          <w:rFonts w:cs="Arial"/>
          <w:szCs w:val="20"/>
          <w:lang w:val="en-GB"/>
        </w:rPr>
        <w:t>CuSO</w:t>
      </w:r>
      <w:r w:rsidRPr="00FC1AF8">
        <w:rPr>
          <w:rFonts w:cs="Arial"/>
          <w:szCs w:val="20"/>
          <w:lang w:val="en-GB"/>
        </w:rPr>
        <w:t>4 solution</w:t>
      </w:r>
      <w:r>
        <w:rPr>
          <w:rFonts w:cs="Arial"/>
          <w:szCs w:val="20"/>
          <w:lang w:val="en-GB"/>
        </w:rPr>
        <w:t>;</w:t>
      </w:r>
      <w:r w:rsidRPr="00FC1AF8">
        <w:rPr>
          <w:rFonts w:cs="Arial"/>
          <w:szCs w:val="20"/>
          <w:lang w:val="en-GB"/>
        </w:rPr>
        <w:t xml:space="preserve"> not swabbed as required </w:t>
      </w:r>
      <w:r w:rsidR="00DF3092">
        <w:rPr>
          <w:rFonts w:cs="Arial"/>
          <w:szCs w:val="20"/>
          <w:lang w:val="en-GB"/>
        </w:rPr>
        <w:t>by the</w:t>
      </w:r>
      <w:r w:rsidRPr="00FC1AF8">
        <w:rPr>
          <w:rFonts w:cs="Arial"/>
          <w:szCs w:val="20"/>
          <w:lang w:val="en-GB"/>
        </w:rPr>
        <w:t xml:space="preserve"> spec</w:t>
      </w:r>
      <w:r w:rsidR="00DF3092">
        <w:rPr>
          <w:rFonts w:cs="Arial"/>
          <w:szCs w:val="20"/>
          <w:lang w:val="en-GB"/>
        </w:rPr>
        <w:t>ification</w:t>
      </w:r>
      <w:r w:rsidRPr="00FC1AF8">
        <w:rPr>
          <w:rFonts w:cs="Arial"/>
          <w:szCs w:val="20"/>
          <w:lang w:val="en-GB"/>
        </w:rPr>
        <w:t>.</w:t>
      </w:r>
    </w:p>
    <w:p w:rsidR="00FC1AF8" w:rsidRPr="00FC1AF8" w:rsidRDefault="00FC1AF8" w:rsidP="00FC1AF8">
      <w:pPr>
        <w:pStyle w:val="ListParagraph"/>
        <w:spacing w:after="0"/>
        <w:jc w:val="both"/>
        <w:rPr>
          <w:rFonts w:cs="Arial"/>
          <w:szCs w:val="20"/>
          <w:lang w:val="en-GB"/>
        </w:rPr>
      </w:pPr>
    </w:p>
    <w:p w:rsidR="00FC1AF8" w:rsidRPr="00FC1AF8" w:rsidRDefault="00FC1AF8" w:rsidP="00FC1AF8">
      <w:pPr>
        <w:pStyle w:val="ListParagraph"/>
        <w:spacing w:after="0"/>
        <w:jc w:val="both"/>
        <w:rPr>
          <w:rFonts w:cs="Arial"/>
          <w:szCs w:val="20"/>
          <w:lang w:val="en-GB"/>
        </w:rPr>
      </w:pPr>
      <w:r w:rsidRPr="00FC1AF8">
        <w:rPr>
          <w:rFonts w:cs="Arial"/>
          <w:szCs w:val="20"/>
          <w:lang w:val="en-GB"/>
        </w:rPr>
        <w:t>Supplier</w:t>
      </w:r>
      <w:r>
        <w:rPr>
          <w:rFonts w:cs="Arial"/>
          <w:szCs w:val="20"/>
          <w:lang w:val="en-GB"/>
        </w:rPr>
        <w:t>’s procedure</w:t>
      </w:r>
      <w:r w:rsidRPr="00FC1AF8">
        <w:rPr>
          <w:rFonts w:cs="Arial"/>
          <w:szCs w:val="20"/>
          <w:lang w:val="en-GB"/>
        </w:rPr>
        <w:t xml:space="preserve"> QI 1204.005 para 6.2.2</w:t>
      </w:r>
      <w:r>
        <w:rPr>
          <w:rFonts w:cs="Arial"/>
          <w:szCs w:val="20"/>
          <w:lang w:val="en-GB"/>
        </w:rPr>
        <w:t xml:space="preserve"> </w:t>
      </w:r>
      <w:r w:rsidRPr="00FC1AF8">
        <w:rPr>
          <w:rFonts w:cs="Arial"/>
          <w:szCs w:val="20"/>
          <w:lang w:val="en-GB"/>
        </w:rPr>
        <w:t xml:space="preserve">"Part may be </w:t>
      </w:r>
      <w:r w:rsidR="00B829A5" w:rsidRPr="00FC1AF8">
        <w:rPr>
          <w:rFonts w:cs="Arial"/>
          <w:szCs w:val="20"/>
          <w:lang w:val="en-GB"/>
        </w:rPr>
        <w:t>immersed”</w:t>
      </w:r>
      <w:r w:rsidR="00B829A5">
        <w:rPr>
          <w:rFonts w:cs="Arial"/>
          <w:szCs w:val="20"/>
          <w:lang w:val="en-GB"/>
        </w:rPr>
        <w:t xml:space="preserve"> </w:t>
      </w:r>
      <w:r w:rsidRPr="00FC1AF8">
        <w:rPr>
          <w:rFonts w:cs="Arial"/>
          <w:szCs w:val="20"/>
          <w:lang w:val="en-GB"/>
        </w:rPr>
        <w:t xml:space="preserve">allows for this practice. No deviations evidenced. </w:t>
      </w:r>
    </w:p>
    <w:p w:rsidR="00FC1AF8" w:rsidRPr="00FC1AF8" w:rsidRDefault="00FC1AF8" w:rsidP="00FC1AF8">
      <w:pPr>
        <w:pStyle w:val="ListParagraph"/>
        <w:spacing w:after="0"/>
        <w:jc w:val="both"/>
        <w:rPr>
          <w:rFonts w:cs="Arial"/>
          <w:szCs w:val="20"/>
          <w:lang w:val="en-GB"/>
        </w:rPr>
      </w:pPr>
    </w:p>
    <w:p w:rsidR="00FC1AF8" w:rsidRPr="00FC1AF8" w:rsidRDefault="00FC1AF8" w:rsidP="00FC1AF8">
      <w:pPr>
        <w:pStyle w:val="ListParagraph"/>
        <w:spacing w:after="0"/>
        <w:jc w:val="both"/>
        <w:rPr>
          <w:rFonts w:cs="Arial"/>
          <w:szCs w:val="20"/>
          <w:lang w:val="en-GB"/>
        </w:rPr>
      </w:pPr>
      <w:r w:rsidRPr="00FC1AF8">
        <w:rPr>
          <w:rFonts w:cs="Arial"/>
          <w:szCs w:val="20"/>
          <w:lang w:val="en-GB"/>
        </w:rPr>
        <w:t>Supplier response:</w:t>
      </w:r>
    </w:p>
    <w:p w:rsidR="00FC1AF8" w:rsidRPr="00FC1AF8" w:rsidRDefault="00FC1AF8" w:rsidP="00FC1AF8">
      <w:pPr>
        <w:pStyle w:val="ListParagraph"/>
        <w:spacing w:after="0"/>
        <w:jc w:val="both"/>
        <w:rPr>
          <w:rFonts w:cs="Arial"/>
          <w:szCs w:val="20"/>
          <w:lang w:val="en-GB"/>
        </w:rPr>
      </w:pPr>
      <w:r>
        <w:rPr>
          <w:rFonts w:cs="Arial"/>
          <w:szCs w:val="20"/>
          <w:lang w:val="en-GB"/>
        </w:rPr>
        <w:t>We</w:t>
      </w:r>
      <w:r w:rsidRPr="00FC1AF8">
        <w:rPr>
          <w:rFonts w:cs="Arial"/>
          <w:szCs w:val="20"/>
          <w:lang w:val="en-GB"/>
        </w:rPr>
        <w:t xml:space="preserve"> incorporated the option of immersing parts into the copper </w:t>
      </w:r>
      <w:proofErr w:type="spellStart"/>
      <w:r w:rsidR="00724BFF">
        <w:rPr>
          <w:rFonts w:cs="Arial"/>
          <w:szCs w:val="20"/>
          <w:lang w:val="en-GB"/>
        </w:rPr>
        <w:t>sulfate</w:t>
      </w:r>
      <w:proofErr w:type="spellEnd"/>
      <w:r w:rsidRPr="00FC1AF8">
        <w:rPr>
          <w:rFonts w:cs="Arial"/>
          <w:szCs w:val="20"/>
          <w:lang w:val="en-GB"/>
        </w:rPr>
        <w:t xml:space="preserve"> solution back in October 2000 since it was determined by Quality Engineering that immersion provides a more effective means to assure that all surfaces of complex parts and all surfaces of parts with internal threads and passages are maintained with a coating of copper </w:t>
      </w:r>
      <w:proofErr w:type="spellStart"/>
      <w:r w:rsidR="00724BFF">
        <w:rPr>
          <w:rFonts w:cs="Arial"/>
          <w:szCs w:val="20"/>
          <w:lang w:val="en-GB"/>
        </w:rPr>
        <w:t>sulfate</w:t>
      </w:r>
      <w:proofErr w:type="spellEnd"/>
      <w:r w:rsidRPr="00FC1AF8">
        <w:rPr>
          <w:rFonts w:cs="Arial"/>
          <w:szCs w:val="20"/>
          <w:lang w:val="en-GB"/>
        </w:rPr>
        <w:t xml:space="preserve"> solution for the </w:t>
      </w:r>
      <w:r w:rsidR="001C150A" w:rsidRPr="00FC1AF8">
        <w:rPr>
          <w:rFonts w:cs="Arial"/>
          <w:szCs w:val="20"/>
          <w:lang w:val="en-GB"/>
        </w:rPr>
        <w:t>6-minute</w:t>
      </w:r>
      <w:r w:rsidRPr="00FC1AF8">
        <w:rPr>
          <w:rFonts w:cs="Arial"/>
          <w:szCs w:val="20"/>
          <w:lang w:val="en-GB"/>
        </w:rPr>
        <w:t xml:space="preserve"> test duration. The operator followed internal procedure QI1204 which allows the option of swabbing or immersion of the part(s) into the test solution. </w:t>
      </w:r>
    </w:p>
    <w:p w:rsidR="00FC1AF8" w:rsidRPr="00FC1AF8" w:rsidRDefault="00FC1AF8" w:rsidP="00FC1AF8">
      <w:pPr>
        <w:pStyle w:val="ListParagraph"/>
        <w:spacing w:after="0"/>
        <w:jc w:val="both"/>
        <w:rPr>
          <w:rFonts w:cs="Arial"/>
          <w:szCs w:val="20"/>
          <w:lang w:val="en-GB"/>
        </w:rPr>
      </w:pPr>
      <w:r>
        <w:rPr>
          <w:rFonts w:cs="Arial"/>
          <w:szCs w:val="20"/>
          <w:lang w:val="en-GB"/>
        </w:rPr>
        <w:t>We</w:t>
      </w:r>
      <w:r w:rsidRPr="00FC1AF8">
        <w:rPr>
          <w:rFonts w:cs="Arial"/>
          <w:szCs w:val="20"/>
          <w:lang w:val="en-GB"/>
        </w:rPr>
        <w:t xml:space="preserve"> contend that the method of immersion is a more effective method than swabbing and prefer to continue with this method. The immersion method guarantees 100% copper </w:t>
      </w:r>
      <w:proofErr w:type="spellStart"/>
      <w:r w:rsidR="00724BFF">
        <w:rPr>
          <w:rFonts w:cs="Arial"/>
          <w:szCs w:val="20"/>
          <w:lang w:val="en-GB"/>
        </w:rPr>
        <w:t>sulfate</w:t>
      </w:r>
      <w:proofErr w:type="spellEnd"/>
      <w:r w:rsidRPr="00FC1AF8">
        <w:rPr>
          <w:rFonts w:cs="Arial"/>
          <w:szCs w:val="20"/>
          <w:lang w:val="en-GB"/>
        </w:rPr>
        <w:t xml:space="preserve"> coverage on the part, while swabbing the part would make it difficult to reach every surface and keep every surface wet for 6 minutes. </w:t>
      </w:r>
      <w:r w:rsidR="00B829A5">
        <w:rPr>
          <w:rFonts w:cs="Arial"/>
          <w:szCs w:val="20"/>
          <w:lang w:val="en-GB"/>
        </w:rPr>
        <w:t>T</w:t>
      </w:r>
      <w:r w:rsidRPr="00FC1AF8">
        <w:rPr>
          <w:rFonts w:cs="Arial"/>
          <w:szCs w:val="20"/>
          <w:lang w:val="en-GB"/>
        </w:rPr>
        <w:t xml:space="preserve">he intention of the test requirement is to keep the passivated surfaces wet for a period of 6 minutes and the immersion method would produce this result, much more effectively then swabbing ever could. </w:t>
      </w:r>
    </w:p>
    <w:p w:rsidR="00FC1AF8" w:rsidRPr="00FC1AF8" w:rsidRDefault="00FC1AF8" w:rsidP="00FC1AF8">
      <w:pPr>
        <w:pStyle w:val="ListParagraph"/>
        <w:spacing w:after="0"/>
        <w:jc w:val="both"/>
        <w:rPr>
          <w:rFonts w:cs="Arial"/>
          <w:szCs w:val="20"/>
          <w:lang w:val="en-GB"/>
        </w:rPr>
      </w:pPr>
      <w:r w:rsidRPr="00FC1AF8">
        <w:rPr>
          <w:rFonts w:cs="Arial"/>
          <w:szCs w:val="20"/>
          <w:lang w:val="en-GB"/>
        </w:rPr>
        <w:t xml:space="preserve">Please reference past audit # 124532, NCR#2. This finding was for immersing parts in the copper </w:t>
      </w:r>
      <w:proofErr w:type="spellStart"/>
      <w:r w:rsidR="00724BFF">
        <w:rPr>
          <w:rFonts w:cs="Arial"/>
          <w:szCs w:val="20"/>
          <w:lang w:val="en-GB"/>
        </w:rPr>
        <w:t>sulfate</w:t>
      </w:r>
      <w:proofErr w:type="spellEnd"/>
      <w:r w:rsidRPr="00FC1AF8">
        <w:rPr>
          <w:rFonts w:cs="Arial"/>
          <w:szCs w:val="20"/>
          <w:lang w:val="en-GB"/>
        </w:rPr>
        <w:t xml:space="preserve"> solution per specific</w:t>
      </w:r>
      <w:r w:rsidR="00B829A5">
        <w:rPr>
          <w:rFonts w:cs="Arial"/>
          <w:szCs w:val="20"/>
          <w:lang w:val="en-GB"/>
        </w:rPr>
        <w:t>ations AMS2700 and AMS-STD-753 when they required swabbing – the NCR was effectively voided with agreement of the Task Group Chair.</w:t>
      </w:r>
    </w:p>
    <w:p w:rsidR="00FC1AF8" w:rsidRPr="00FC1AF8" w:rsidRDefault="00FC1AF8" w:rsidP="00FC1AF8">
      <w:pPr>
        <w:pStyle w:val="ListParagraph"/>
        <w:spacing w:after="0"/>
        <w:jc w:val="both"/>
        <w:rPr>
          <w:rFonts w:cs="Arial"/>
          <w:szCs w:val="20"/>
          <w:lang w:val="en-GB"/>
        </w:rPr>
      </w:pPr>
    </w:p>
    <w:p w:rsidR="00FC1AF8" w:rsidRDefault="00FC1AF8" w:rsidP="00FC1AF8">
      <w:pPr>
        <w:pStyle w:val="ListParagraph"/>
        <w:spacing w:after="0"/>
        <w:jc w:val="both"/>
        <w:rPr>
          <w:rFonts w:cs="Arial"/>
          <w:szCs w:val="20"/>
          <w:lang w:val="en-GB"/>
        </w:rPr>
      </w:pPr>
      <w:r w:rsidRPr="00FC1AF8">
        <w:rPr>
          <w:rFonts w:cs="Arial"/>
          <w:szCs w:val="20"/>
          <w:lang w:val="en-GB"/>
        </w:rPr>
        <w:t>Question: Is it permissible to allow complete immersion when inspect</w:t>
      </w:r>
      <w:r w:rsidR="006678AA">
        <w:rPr>
          <w:rFonts w:cs="Arial"/>
          <w:szCs w:val="20"/>
          <w:lang w:val="en-GB"/>
        </w:rPr>
        <w:t>ion is performed per ASTM-A-967?</w:t>
      </w:r>
    </w:p>
    <w:p w:rsidR="00971388" w:rsidRDefault="00971388" w:rsidP="00FC1AF8">
      <w:pPr>
        <w:pStyle w:val="ListParagraph"/>
        <w:spacing w:after="0"/>
        <w:jc w:val="both"/>
        <w:rPr>
          <w:rFonts w:cs="Arial"/>
          <w:szCs w:val="20"/>
          <w:lang w:val="en-GB"/>
        </w:rPr>
      </w:pPr>
    </w:p>
    <w:p w:rsidR="00971388" w:rsidRDefault="00971388" w:rsidP="00FC1AF8">
      <w:pPr>
        <w:pStyle w:val="ListParagraph"/>
        <w:spacing w:after="0"/>
        <w:jc w:val="both"/>
        <w:rPr>
          <w:rFonts w:cs="Arial"/>
          <w:szCs w:val="20"/>
          <w:lang w:val="en-GB"/>
        </w:rPr>
      </w:pPr>
      <w:r>
        <w:rPr>
          <w:rFonts w:cs="Arial"/>
          <w:szCs w:val="20"/>
          <w:lang w:val="en-GB"/>
        </w:rPr>
        <w:t xml:space="preserve">Motion made by Hal </w:t>
      </w:r>
      <w:r w:rsidR="00DF3092">
        <w:rPr>
          <w:rFonts w:cs="Arial"/>
          <w:szCs w:val="20"/>
          <w:lang w:val="en-GB"/>
        </w:rPr>
        <w:t xml:space="preserve">Abel </w:t>
      </w:r>
      <w:r>
        <w:rPr>
          <w:rFonts w:cs="Arial"/>
          <w:szCs w:val="20"/>
          <w:lang w:val="en-GB"/>
        </w:rPr>
        <w:t>and seconded by Jeremy</w:t>
      </w:r>
      <w:r w:rsidR="00DF3092">
        <w:rPr>
          <w:rFonts w:cs="Arial"/>
          <w:szCs w:val="20"/>
          <w:lang w:val="en-GB"/>
        </w:rPr>
        <w:t xml:space="preserve"> Phillips</w:t>
      </w:r>
      <w:r>
        <w:rPr>
          <w:rFonts w:cs="Arial"/>
          <w:szCs w:val="20"/>
          <w:lang w:val="en-GB"/>
        </w:rPr>
        <w:t xml:space="preserve"> to void the NCR and add an Audit Handbook clarification to allow immersion testing in place of swab testing.</w:t>
      </w:r>
      <w:r w:rsidR="002135D1">
        <w:rPr>
          <w:rFonts w:cs="Arial"/>
          <w:szCs w:val="20"/>
          <w:lang w:val="en-GB"/>
        </w:rPr>
        <w:t xml:space="preserve"> Motion failed, supplier must work to specification or get deviation from the design authority. Previous voidance is not supported by this Task Group.</w:t>
      </w:r>
    </w:p>
    <w:p w:rsidR="00971388" w:rsidRDefault="00971388" w:rsidP="00FC1AF8">
      <w:pPr>
        <w:pStyle w:val="ListParagraph"/>
        <w:spacing w:after="0"/>
        <w:jc w:val="both"/>
        <w:rPr>
          <w:rFonts w:cs="Arial"/>
          <w:szCs w:val="20"/>
          <w:lang w:val="en-GB"/>
        </w:rPr>
      </w:pPr>
    </w:p>
    <w:p w:rsidR="00971388" w:rsidRPr="00FC1AF8" w:rsidRDefault="00971388" w:rsidP="00FC1AF8">
      <w:pPr>
        <w:pStyle w:val="ListParagraph"/>
        <w:spacing w:after="0"/>
        <w:jc w:val="both"/>
        <w:rPr>
          <w:rFonts w:cs="Arial"/>
          <w:szCs w:val="20"/>
          <w:lang w:val="en-GB"/>
        </w:rPr>
      </w:pPr>
      <w:r>
        <w:rPr>
          <w:rFonts w:cs="Arial"/>
          <w:szCs w:val="20"/>
          <w:lang w:val="en-GB"/>
        </w:rPr>
        <w:t>ASTM A967 allows other test methods that are “full immersion” tests.</w:t>
      </w:r>
    </w:p>
    <w:p w:rsidR="009933B0" w:rsidRDefault="009933B0" w:rsidP="00302CE9">
      <w:pPr>
        <w:pStyle w:val="ListParagraph"/>
        <w:spacing w:after="0"/>
        <w:jc w:val="both"/>
        <w:rPr>
          <w:rFonts w:cs="Arial"/>
          <w:szCs w:val="20"/>
          <w:lang w:val="en-GB"/>
        </w:rPr>
      </w:pPr>
    </w:p>
    <w:p w:rsidR="009933B0" w:rsidRDefault="009933B0" w:rsidP="009933B0">
      <w:pPr>
        <w:pStyle w:val="ListParagraph"/>
        <w:spacing w:after="0"/>
        <w:jc w:val="both"/>
        <w:rPr>
          <w:rFonts w:cs="Arial"/>
          <w:szCs w:val="20"/>
          <w:lang w:val="en-GB"/>
        </w:rPr>
      </w:pPr>
      <w:r w:rsidRPr="009933B0">
        <w:rPr>
          <w:rFonts w:cs="Arial"/>
          <w:b/>
          <w:szCs w:val="20"/>
          <w:lang w:val="en-GB"/>
        </w:rPr>
        <w:t>Export Control:</w:t>
      </w:r>
      <w:r w:rsidRPr="009933B0">
        <w:rPr>
          <w:rFonts w:cs="Arial"/>
          <w:szCs w:val="20"/>
          <w:lang w:val="en-GB"/>
        </w:rPr>
        <w:t xml:space="preserve"> </w:t>
      </w:r>
      <w:r w:rsidR="006F1B84">
        <w:rPr>
          <w:rFonts w:cs="Arial"/>
          <w:szCs w:val="20"/>
          <w:lang w:val="en-GB"/>
        </w:rPr>
        <w:t>An audit</w:t>
      </w:r>
      <w:r w:rsidRPr="009933B0">
        <w:rPr>
          <w:rFonts w:cs="Arial"/>
          <w:szCs w:val="20"/>
          <w:lang w:val="en-GB"/>
        </w:rPr>
        <w:t xml:space="preserve"> reviewer question</w:t>
      </w:r>
      <w:r w:rsidR="006F1B84">
        <w:rPr>
          <w:rFonts w:cs="Arial"/>
          <w:szCs w:val="20"/>
          <w:lang w:val="en-GB"/>
        </w:rPr>
        <w:t>ed</w:t>
      </w:r>
      <w:r w:rsidRPr="009933B0">
        <w:rPr>
          <w:rFonts w:cs="Arial"/>
          <w:szCs w:val="20"/>
          <w:lang w:val="en-GB"/>
        </w:rPr>
        <w:t xml:space="preserve"> whether the periodic tests required by MIL-DTL-5541 were considered to be export controlled if the auditor mentioned them in the NCR. The job </w:t>
      </w:r>
      <w:r w:rsidRPr="009933B0">
        <w:rPr>
          <w:rFonts w:cs="Arial"/>
          <w:szCs w:val="20"/>
          <w:lang w:val="en-GB"/>
        </w:rPr>
        <w:lastRenderedPageBreak/>
        <w:t>audit referenced this spec and the spec requires standard tests</w:t>
      </w:r>
      <w:r>
        <w:rPr>
          <w:rFonts w:cs="Arial"/>
          <w:szCs w:val="20"/>
          <w:lang w:val="en-GB"/>
        </w:rPr>
        <w:t xml:space="preserve"> to be performed. </w:t>
      </w:r>
      <w:r w:rsidRPr="009933B0">
        <w:rPr>
          <w:rFonts w:cs="Arial"/>
          <w:szCs w:val="20"/>
          <w:lang w:val="en-GB"/>
        </w:rPr>
        <w:t xml:space="preserve">The basic tests (not specific to a type or class) for an industry spec are common knowledge and should not be </w:t>
      </w:r>
      <w:r w:rsidR="00DF3092">
        <w:rPr>
          <w:rFonts w:cs="Arial"/>
          <w:szCs w:val="20"/>
          <w:lang w:val="en-GB"/>
        </w:rPr>
        <w:t>a violation of export control.</w:t>
      </w:r>
    </w:p>
    <w:p w:rsidR="00DF4E58" w:rsidRDefault="00DF4E58" w:rsidP="009933B0">
      <w:pPr>
        <w:pStyle w:val="ListParagraph"/>
        <w:spacing w:after="0"/>
        <w:jc w:val="both"/>
        <w:rPr>
          <w:rFonts w:cs="Arial"/>
          <w:szCs w:val="20"/>
          <w:lang w:val="en-GB"/>
        </w:rPr>
      </w:pPr>
    </w:p>
    <w:p w:rsidR="00DF4E58" w:rsidRDefault="00DF4E58" w:rsidP="009933B0">
      <w:pPr>
        <w:pStyle w:val="ListParagraph"/>
        <w:spacing w:after="0"/>
        <w:jc w:val="both"/>
        <w:rPr>
          <w:rFonts w:cs="Arial"/>
          <w:szCs w:val="20"/>
          <w:lang w:val="en-GB"/>
        </w:rPr>
      </w:pPr>
      <w:r>
        <w:rPr>
          <w:rFonts w:cs="Arial"/>
          <w:szCs w:val="20"/>
          <w:lang w:val="en-GB"/>
        </w:rPr>
        <w:t xml:space="preserve">Is it acceptable to write an NCR for an ITAR controlled job that states, “Part Number: XX12345, Job#: AA12345, Specification: BB-1234 requires monthly corrosion testing to ASTM B-117 but the testing is not being </w:t>
      </w:r>
      <w:r w:rsidR="001C150A">
        <w:rPr>
          <w:rFonts w:cs="Arial"/>
          <w:szCs w:val="20"/>
          <w:lang w:val="en-GB"/>
        </w:rPr>
        <w:t>done”?</w:t>
      </w:r>
    </w:p>
    <w:p w:rsidR="00DF4E58" w:rsidRDefault="00DF4E58" w:rsidP="009933B0">
      <w:pPr>
        <w:pStyle w:val="ListParagraph"/>
        <w:spacing w:after="0"/>
        <w:jc w:val="both"/>
        <w:rPr>
          <w:rFonts w:cs="Arial"/>
          <w:szCs w:val="20"/>
          <w:lang w:val="en-GB"/>
        </w:rPr>
      </w:pPr>
    </w:p>
    <w:p w:rsidR="00894132" w:rsidRDefault="00894132" w:rsidP="009933B0">
      <w:pPr>
        <w:pStyle w:val="ListParagraph"/>
        <w:spacing w:after="0"/>
        <w:jc w:val="both"/>
        <w:rPr>
          <w:rFonts w:cs="Arial"/>
          <w:szCs w:val="20"/>
          <w:lang w:val="en-GB"/>
        </w:rPr>
      </w:pPr>
      <w:r>
        <w:rPr>
          <w:rFonts w:cs="Arial"/>
          <w:szCs w:val="20"/>
          <w:lang w:val="en-GB"/>
        </w:rPr>
        <w:t xml:space="preserve">Not all Task Group members were able to make a decision and would have to raise the issue with their </w:t>
      </w:r>
      <w:r w:rsidR="00DF3092">
        <w:rPr>
          <w:rFonts w:cs="Arial"/>
          <w:szCs w:val="20"/>
          <w:lang w:val="en-GB"/>
        </w:rPr>
        <w:t>company export control authority</w:t>
      </w:r>
      <w:r>
        <w:rPr>
          <w:rFonts w:cs="Arial"/>
          <w:szCs w:val="20"/>
          <w:lang w:val="en-GB"/>
        </w:rPr>
        <w:t xml:space="preserve">. </w:t>
      </w:r>
    </w:p>
    <w:p w:rsidR="006678AA" w:rsidRDefault="006678AA" w:rsidP="009933B0">
      <w:pPr>
        <w:pStyle w:val="ListParagraph"/>
        <w:spacing w:after="0"/>
        <w:jc w:val="both"/>
        <w:rPr>
          <w:rFonts w:cs="Arial"/>
          <w:szCs w:val="20"/>
          <w:lang w:val="en-GB"/>
        </w:rPr>
      </w:pPr>
    </w:p>
    <w:p w:rsidR="006678AA" w:rsidRDefault="00535123" w:rsidP="006678AA">
      <w:pPr>
        <w:pStyle w:val="ActionItem"/>
        <w:rPr>
          <w:lang w:val="en-GB"/>
        </w:rPr>
      </w:pPr>
      <w:r>
        <w:rPr>
          <w:lang w:val="en-GB"/>
        </w:rPr>
        <w:t>ACTION ITEM</w:t>
      </w:r>
      <w:r w:rsidR="006678AA">
        <w:rPr>
          <w:lang w:val="en-GB"/>
        </w:rPr>
        <w:t>: Task Group Subscriber members to take query</w:t>
      </w:r>
      <w:r w:rsidR="00DF3092">
        <w:rPr>
          <w:lang w:val="en-GB"/>
        </w:rPr>
        <w:t>, is it acceptable to identify that a specific test required by the process specification is not being done,</w:t>
      </w:r>
      <w:r w:rsidR="006678AA">
        <w:rPr>
          <w:lang w:val="en-GB"/>
        </w:rPr>
        <w:t xml:space="preserve"> to their export control people and report back at the June meeting</w:t>
      </w:r>
      <w:r w:rsidR="00191DD4">
        <w:rPr>
          <w:lang w:val="en-GB"/>
        </w:rPr>
        <w:t>.</w:t>
      </w:r>
      <w:r w:rsidR="006F1B84">
        <w:rPr>
          <w:lang w:val="en-GB"/>
        </w:rPr>
        <w:t xml:space="preserve"> </w:t>
      </w:r>
      <w:r w:rsidR="00191DD4">
        <w:t>(Due Date: 20-Jun-2016)</w:t>
      </w:r>
    </w:p>
    <w:p w:rsidR="009933B0" w:rsidRDefault="009933B0" w:rsidP="009933B0">
      <w:pPr>
        <w:pStyle w:val="ListParagraph"/>
        <w:spacing w:after="0"/>
        <w:jc w:val="both"/>
        <w:rPr>
          <w:rFonts w:cs="Arial"/>
          <w:szCs w:val="20"/>
          <w:lang w:val="en-GB"/>
        </w:rPr>
      </w:pPr>
      <w:r w:rsidRPr="009933B0">
        <w:rPr>
          <w:rFonts w:cs="Arial"/>
          <w:b/>
          <w:szCs w:val="20"/>
          <w:lang w:val="en-GB"/>
        </w:rPr>
        <w:t>Export Control:</w:t>
      </w:r>
      <w:r>
        <w:rPr>
          <w:rFonts w:cs="Arial"/>
          <w:b/>
          <w:szCs w:val="20"/>
          <w:lang w:val="en-GB"/>
        </w:rPr>
        <w:t xml:space="preserve"> </w:t>
      </w:r>
      <w:r w:rsidRPr="009933B0">
        <w:rPr>
          <w:rFonts w:cs="Arial"/>
          <w:szCs w:val="20"/>
          <w:lang w:val="en-GB"/>
        </w:rPr>
        <w:t>Would like confirmation from</w:t>
      </w:r>
      <w:r>
        <w:rPr>
          <w:rFonts w:cs="Arial"/>
          <w:b/>
          <w:szCs w:val="20"/>
          <w:lang w:val="en-GB"/>
        </w:rPr>
        <w:t xml:space="preserve"> </w:t>
      </w:r>
      <w:r w:rsidRPr="009933B0">
        <w:rPr>
          <w:rFonts w:cs="Arial"/>
          <w:szCs w:val="20"/>
          <w:lang w:val="en-GB"/>
        </w:rPr>
        <w:t>t</w:t>
      </w:r>
      <w:r>
        <w:rPr>
          <w:rFonts w:cs="Arial"/>
          <w:szCs w:val="20"/>
          <w:lang w:val="en-GB"/>
        </w:rPr>
        <w:t xml:space="preserve">he Task Group that </w:t>
      </w:r>
      <w:r w:rsidRPr="009933B0">
        <w:rPr>
          <w:rFonts w:cs="Arial"/>
          <w:szCs w:val="20"/>
          <w:lang w:val="en-GB"/>
        </w:rPr>
        <w:t>issues around water break free testing are no</w:t>
      </w:r>
      <w:r>
        <w:rPr>
          <w:rFonts w:cs="Arial"/>
          <w:szCs w:val="20"/>
          <w:lang w:val="en-GB"/>
        </w:rPr>
        <w:t>t EC, e.g. test passing, test failing, incorrect test time.</w:t>
      </w:r>
    </w:p>
    <w:p w:rsidR="00894132" w:rsidRDefault="00894132" w:rsidP="009933B0">
      <w:pPr>
        <w:pStyle w:val="ListParagraph"/>
        <w:spacing w:after="0"/>
        <w:jc w:val="both"/>
        <w:rPr>
          <w:rFonts w:cs="Arial"/>
          <w:szCs w:val="20"/>
          <w:lang w:val="en-GB"/>
        </w:rPr>
      </w:pPr>
    </w:p>
    <w:p w:rsidR="00894132" w:rsidRDefault="00894132" w:rsidP="009933B0">
      <w:pPr>
        <w:pStyle w:val="ListParagraph"/>
        <w:spacing w:after="0"/>
        <w:jc w:val="both"/>
        <w:rPr>
          <w:rFonts w:cs="Arial"/>
          <w:szCs w:val="20"/>
          <w:lang w:val="en-GB"/>
        </w:rPr>
      </w:pPr>
      <w:r>
        <w:rPr>
          <w:rFonts w:cs="Arial"/>
          <w:szCs w:val="20"/>
          <w:lang w:val="en-GB"/>
        </w:rPr>
        <w:t>Motion made by Hal</w:t>
      </w:r>
      <w:r w:rsidR="00DF3092">
        <w:rPr>
          <w:rFonts w:cs="Arial"/>
          <w:szCs w:val="20"/>
          <w:lang w:val="en-GB"/>
        </w:rPr>
        <w:t xml:space="preserve"> Abel</w:t>
      </w:r>
      <w:r>
        <w:rPr>
          <w:rFonts w:cs="Arial"/>
          <w:szCs w:val="20"/>
          <w:lang w:val="en-GB"/>
        </w:rPr>
        <w:t xml:space="preserve"> and seconded by Jeremy</w:t>
      </w:r>
      <w:r w:rsidR="00DF3092">
        <w:rPr>
          <w:rFonts w:cs="Arial"/>
          <w:szCs w:val="20"/>
          <w:lang w:val="en-GB"/>
        </w:rPr>
        <w:t xml:space="preserve"> Phillips</w:t>
      </w:r>
      <w:r>
        <w:rPr>
          <w:rFonts w:cs="Arial"/>
          <w:szCs w:val="20"/>
          <w:lang w:val="en-GB"/>
        </w:rPr>
        <w:t xml:space="preserve"> that issues around water break free testing are not a violation of ITAR/EAR. Motion passed.</w:t>
      </w:r>
    </w:p>
    <w:p w:rsidR="00894132" w:rsidRDefault="00894132" w:rsidP="009933B0">
      <w:pPr>
        <w:pStyle w:val="ListParagraph"/>
        <w:spacing w:after="0"/>
        <w:jc w:val="both"/>
        <w:rPr>
          <w:rFonts w:cs="Arial"/>
          <w:szCs w:val="20"/>
          <w:lang w:val="en-GB"/>
        </w:rPr>
      </w:pPr>
    </w:p>
    <w:p w:rsidR="00894132" w:rsidRDefault="00535123" w:rsidP="006678AA">
      <w:pPr>
        <w:pStyle w:val="ActionItem"/>
        <w:rPr>
          <w:lang w:val="en-GB"/>
        </w:rPr>
      </w:pPr>
      <w:r>
        <w:rPr>
          <w:lang w:val="en-GB"/>
        </w:rPr>
        <w:t>ACTION ITEM</w:t>
      </w:r>
      <w:r w:rsidR="00894132">
        <w:rPr>
          <w:lang w:val="en-GB"/>
        </w:rPr>
        <w:t xml:space="preserve">: Nigel </w:t>
      </w:r>
      <w:r w:rsidR="00783798">
        <w:rPr>
          <w:lang w:val="en-GB"/>
        </w:rPr>
        <w:t xml:space="preserve">Cook </w:t>
      </w:r>
      <w:r w:rsidR="00894132">
        <w:rPr>
          <w:lang w:val="en-GB"/>
        </w:rPr>
        <w:t xml:space="preserve">to </w:t>
      </w:r>
      <w:r w:rsidR="00783798">
        <w:rPr>
          <w:lang w:val="en-GB"/>
        </w:rPr>
        <w:t>notify</w:t>
      </w:r>
      <w:r w:rsidR="00894132">
        <w:rPr>
          <w:lang w:val="en-GB"/>
        </w:rPr>
        <w:t xml:space="preserve"> auditors and audit reviewers</w:t>
      </w:r>
      <w:r w:rsidR="006F1B84">
        <w:rPr>
          <w:lang w:val="en-GB"/>
        </w:rPr>
        <w:t xml:space="preserve"> </w:t>
      </w:r>
      <w:r w:rsidR="006F1B84" w:rsidRPr="006F1B84">
        <w:rPr>
          <w:lang w:val="en-GB"/>
        </w:rPr>
        <w:t xml:space="preserve">that issues around water break free testing are not </w:t>
      </w:r>
      <w:r w:rsidR="006F1B84">
        <w:rPr>
          <w:lang w:val="en-GB"/>
        </w:rPr>
        <w:t>a violation of export control</w:t>
      </w:r>
      <w:r w:rsidR="006F1B84" w:rsidRPr="006F1B84">
        <w:rPr>
          <w:lang w:val="en-GB"/>
        </w:rPr>
        <w:t>, e.g. test passing, te</w:t>
      </w:r>
      <w:r w:rsidR="006F1B84">
        <w:rPr>
          <w:lang w:val="en-GB"/>
        </w:rPr>
        <w:t>st failing, incorrect test time</w:t>
      </w:r>
      <w:r w:rsidR="00191DD4">
        <w:rPr>
          <w:lang w:val="en-GB"/>
        </w:rPr>
        <w:t>.</w:t>
      </w:r>
      <w:r w:rsidR="006F1B84">
        <w:rPr>
          <w:lang w:val="en-GB"/>
        </w:rPr>
        <w:t xml:space="preserve"> </w:t>
      </w:r>
      <w:r w:rsidR="006F1B84" w:rsidRPr="006F1B84">
        <w:rPr>
          <w:lang w:val="en-GB"/>
        </w:rPr>
        <w:t xml:space="preserve">(Due Date: </w:t>
      </w:r>
      <w:r w:rsidR="00783798">
        <w:rPr>
          <w:lang w:val="en-GB"/>
        </w:rPr>
        <w:t>31</w:t>
      </w:r>
      <w:r w:rsidR="006F1B84" w:rsidRPr="006F1B84">
        <w:rPr>
          <w:lang w:val="en-GB"/>
        </w:rPr>
        <w:t>-</w:t>
      </w:r>
      <w:r w:rsidR="00783798">
        <w:rPr>
          <w:lang w:val="en-GB"/>
        </w:rPr>
        <w:t>Mar</w:t>
      </w:r>
      <w:r w:rsidR="00191DD4">
        <w:rPr>
          <w:lang w:val="en-GB"/>
        </w:rPr>
        <w:t>-2016)</w:t>
      </w:r>
    </w:p>
    <w:p w:rsidR="00564E4E" w:rsidRDefault="00564E4E" w:rsidP="009933B0">
      <w:pPr>
        <w:pStyle w:val="ListParagraph"/>
        <w:spacing w:after="0"/>
        <w:jc w:val="both"/>
        <w:rPr>
          <w:rFonts w:cs="Arial"/>
          <w:szCs w:val="20"/>
          <w:lang w:val="en-GB"/>
        </w:rPr>
      </w:pPr>
      <w:r w:rsidRPr="00564E4E">
        <w:rPr>
          <w:rFonts w:cs="Arial"/>
          <w:b/>
          <w:szCs w:val="20"/>
          <w:lang w:val="en-GB"/>
        </w:rPr>
        <w:t>AC7108/2 Job Audits:</w:t>
      </w:r>
      <w:r>
        <w:rPr>
          <w:rFonts w:cs="Arial"/>
          <w:szCs w:val="20"/>
          <w:lang w:val="en-GB"/>
        </w:rPr>
        <w:t xml:space="preserve"> There have been several occasions where the 3 minimum job audit requirements of the AC7108/2 checklist have not been met. Tw</w:t>
      </w:r>
      <w:r w:rsidR="005328B0">
        <w:rPr>
          <w:rFonts w:cs="Arial"/>
          <w:szCs w:val="20"/>
          <w:lang w:val="en-GB"/>
        </w:rPr>
        <w:t>o</w:t>
      </w:r>
      <w:r>
        <w:rPr>
          <w:rFonts w:cs="Arial"/>
          <w:szCs w:val="20"/>
          <w:lang w:val="en-GB"/>
        </w:rPr>
        <w:t xml:space="preserve"> specific audits are 170253 and 164688. These audits have been a single etch method and limited parts/specifications.</w:t>
      </w:r>
    </w:p>
    <w:p w:rsidR="005328B0" w:rsidRDefault="005328B0" w:rsidP="009933B0">
      <w:pPr>
        <w:pStyle w:val="ListParagraph"/>
        <w:spacing w:after="0"/>
        <w:jc w:val="both"/>
        <w:rPr>
          <w:rFonts w:cs="Arial"/>
          <w:szCs w:val="20"/>
          <w:lang w:val="en-GB"/>
        </w:rPr>
      </w:pPr>
      <w:r w:rsidRPr="005328B0">
        <w:rPr>
          <w:rFonts w:cs="Arial"/>
          <w:szCs w:val="20"/>
          <w:lang w:val="en-GB"/>
        </w:rPr>
        <w:t xml:space="preserve">Where the </w:t>
      </w:r>
      <w:r>
        <w:rPr>
          <w:rFonts w:cs="Arial"/>
          <w:szCs w:val="20"/>
          <w:lang w:val="en-GB"/>
        </w:rPr>
        <w:t>supplier has history of acceptable etch inspection audits then so long as each method in their scope includes a job audit the accreditation can be issued. For initial audits, or for audits that have more NCRs than would be allowed for merit an add scope audit, or desk top audit of additional inspection only jobs would be required. Ag</w:t>
      </w:r>
      <w:r w:rsidR="008D1B75">
        <w:rPr>
          <w:rFonts w:cs="Arial"/>
          <w:szCs w:val="20"/>
          <w:lang w:val="en-GB"/>
        </w:rPr>
        <w:t xml:space="preserve">reement of the Task Group Chair &amp; </w:t>
      </w:r>
      <w:r>
        <w:rPr>
          <w:rFonts w:cs="Arial"/>
          <w:szCs w:val="20"/>
          <w:lang w:val="en-GB"/>
        </w:rPr>
        <w:t>Vice-Chair is required for each audit.</w:t>
      </w:r>
    </w:p>
    <w:p w:rsidR="005328B0" w:rsidRDefault="005328B0" w:rsidP="009933B0">
      <w:pPr>
        <w:pStyle w:val="ListParagraph"/>
        <w:spacing w:after="0"/>
        <w:jc w:val="both"/>
        <w:rPr>
          <w:rFonts w:cs="Arial"/>
          <w:szCs w:val="20"/>
          <w:lang w:val="en-GB"/>
        </w:rPr>
      </w:pPr>
    </w:p>
    <w:p w:rsidR="006678AA" w:rsidRDefault="00BB1371" w:rsidP="009933B0">
      <w:pPr>
        <w:pStyle w:val="ListParagraph"/>
        <w:spacing w:after="0"/>
        <w:jc w:val="both"/>
        <w:rPr>
          <w:rFonts w:cs="Arial"/>
          <w:szCs w:val="20"/>
          <w:lang w:val="en-GB"/>
        </w:rPr>
      </w:pPr>
      <w:r>
        <w:rPr>
          <w:rFonts w:cs="Arial"/>
          <w:szCs w:val="20"/>
          <w:lang w:val="en-GB"/>
        </w:rPr>
        <w:t xml:space="preserve">Audit Effectiveness: Concern raised by Hal Abel that numerous Nadcap audits have missed non-compliances (Audit 166147). Similar concerns were also raised by Jonathan and Zia. </w:t>
      </w:r>
    </w:p>
    <w:p w:rsidR="006678AA" w:rsidRDefault="006678AA" w:rsidP="009933B0">
      <w:pPr>
        <w:pStyle w:val="ListParagraph"/>
        <w:spacing w:after="0"/>
        <w:jc w:val="both"/>
        <w:rPr>
          <w:rFonts w:cs="Arial"/>
          <w:szCs w:val="20"/>
          <w:lang w:val="en-GB"/>
        </w:rPr>
      </w:pPr>
    </w:p>
    <w:p w:rsidR="005328B0" w:rsidRPr="005328B0" w:rsidRDefault="00535123" w:rsidP="006678AA">
      <w:pPr>
        <w:pStyle w:val="ActionItem"/>
        <w:rPr>
          <w:lang w:val="en-GB"/>
        </w:rPr>
      </w:pPr>
      <w:r>
        <w:rPr>
          <w:lang w:val="en-GB"/>
        </w:rPr>
        <w:t>ACTION ITEM</w:t>
      </w:r>
      <w:r w:rsidR="006F1B84">
        <w:rPr>
          <w:lang w:val="en-GB"/>
        </w:rPr>
        <w:t xml:space="preserve">: </w:t>
      </w:r>
      <w:r w:rsidR="00BB1371">
        <w:rPr>
          <w:lang w:val="en-GB"/>
        </w:rPr>
        <w:t>A sub-team of Hal</w:t>
      </w:r>
      <w:r w:rsidR="006F1B84">
        <w:rPr>
          <w:lang w:val="en-GB"/>
        </w:rPr>
        <w:t xml:space="preserve"> Abel</w:t>
      </w:r>
      <w:r w:rsidR="00BB1371">
        <w:rPr>
          <w:lang w:val="en-GB"/>
        </w:rPr>
        <w:t>, Zia</w:t>
      </w:r>
      <w:r w:rsidR="006F1B84">
        <w:rPr>
          <w:lang w:val="en-GB"/>
        </w:rPr>
        <w:t xml:space="preserve"> Usmani</w:t>
      </w:r>
      <w:r w:rsidR="00BB1371">
        <w:rPr>
          <w:lang w:val="en-GB"/>
        </w:rPr>
        <w:t>, Jonathan</w:t>
      </w:r>
      <w:r w:rsidR="006F1B84">
        <w:rPr>
          <w:lang w:val="en-GB"/>
        </w:rPr>
        <w:t xml:space="preserve"> Scudder</w:t>
      </w:r>
      <w:r w:rsidR="00BB1371">
        <w:rPr>
          <w:lang w:val="en-GB"/>
        </w:rPr>
        <w:t xml:space="preserve"> and Nigel</w:t>
      </w:r>
      <w:r w:rsidR="006F1B84">
        <w:rPr>
          <w:lang w:val="en-GB"/>
        </w:rPr>
        <w:t xml:space="preserve"> Cook</w:t>
      </w:r>
      <w:r w:rsidR="00BB1371">
        <w:rPr>
          <w:lang w:val="en-GB"/>
        </w:rPr>
        <w:t xml:space="preserve"> was set up to investigate</w:t>
      </w:r>
      <w:r w:rsidR="006F1B84">
        <w:rPr>
          <w:lang w:val="en-GB"/>
        </w:rPr>
        <w:t xml:space="preserve"> concerns </w:t>
      </w:r>
      <w:r w:rsidR="006F1B84" w:rsidRPr="006F1B84">
        <w:rPr>
          <w:lang w:val="en-GB"/>
        </w:rPr>
        <w:t>that numerous Nadcap audi</w:t>
      </w:r>
      <w:r w:rsidR="006F1B84">
        <w:rPr>
          <w:lang w:val="en-GB"/>
        </w:rPr>
        <w:t>ts have missed non-compliances, e.g. 166147</w:t>
      </w:r>
      <w:r w:rsidR="00191DD4">
        <w:rPr>
          <w:lang w:val="en-GB"/>
        </w:rPr>
        <w:t>.</w:t>
      </w:r>
      <w:r w:rsidR="00783798">
        <w:rPr>
          <w:lang w:val="en-GB"/>
        </w:rPr>
        <w:t xml:space="preserve"> </w:t>
      </w:r>
      <w:r w:rsidR="00783798" w:rsidRPr="006F1B84">
        <w:rPr>
          <w:lang w:val="en-GB"/>
        </w:rPr>
        <w:t>(Due Date: 20-Jun-2016)</w:t>
      </w:r>
    </w:p>
    <w:p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VOTING MEMBER APPROVAL &amp; COMPLIANCE WITH VOTING REQUIREMENTS – OPEN</w:t>
      </w:r>
    </w:p>
    <w:p w:rsidR="009610A4" w:rsidRPr="009610A4" w:rsidRDefault="009610A4" w:rsidP="009610A4">
      <w:pPr>
        <w:ind w:left="720"/>
      </w:pPr>
      <w:r w:rsidRPr="009610A4">
        <w:t>The following requests for voting membership were received:</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004"/>
        <w:gridCol w:w="1188"/>
        <w:gridCol w:w="1685"/>
        <w:gridCol w:w="2083"/>
        <w:gridCol w:w="1172"/>
        <w:gridCol w:w="1283"/>
      </w:tblGrid>
      <w:tr w:rsidR="00812BDE" w:rsidRPr="009610A4" w:rsidTr="00C86C9F">
        <w:trPr>
          <w:trHeight w:val="719"/>
        </w:trPr>
        <w:tc>
          <w:tcPr>
            <w:tcW w:w="783" w:type="dxa"/>
            <w:shd w:val="clear" w:color="auto" w:fill="auto"/>
          </w:tcPr>
          <w:p w:rsidR="009610A4" w:rsidRPr="009610A4" w:rsidRDefault="009610A4" w:rsidP="009610A4">
            <w:pPr>
              <w:rPr>
                <w:rFonts w:cs="Arial"/>
                <w:b/>
                <w:bCs/>
                <w:iCs/>
              </w:rPr>
            </w:pPr>
            <w:r w:rsidRPr="009610A4">
              <w:rPr>
                <w:rFonts w:cs="Arial"/>
                <w:b/>
                <w:bCs/>
                <w:iCs/>
              </w:rPr>
              <w:t>Title</w:t>
            </w:r>
          </w:p>
        </w:tc>
        <w:tc>
          <w:tcPr>
            <w:tcW w:w="1004" w:type="dxa"/>
            <w:shd w:val="clear" w:color="auto" w:fill="auto"/>
          </w:tcPr>
          <w:p w:rsidR="009610A4" w:rsidRDefault="009610A4" w:rsidP="009610A4">
            <w:pPr>
              <w:jc w:val="center"/>
              <w:rPr>
                <w:rFonts w:cs="Arial"/>
                <w:b/>
                <w:bCs/>
                <w:iCs/>
              </w:rPr>
            </w:pPr>
            <w:r w:rsidRPr="009610A4">
              <w:rPr>
                <w:rFonts w:cs="Arial"/>
                <w:b/>
                <w:bCs/>
                <w:iCs/>
              </w:rPr>
              <w:t>First Name</w:t>
            </w:r>
          </w:p>
          <w:p w:rsidR="001A4305" w:rsidRPr="009610A4" w:rsidRDefault="001A4305" w:rsidP="009610A4">
            <w:pPr>
              <w:jc w:val="center"/>
              <w:rPr>
                <w:rFonts w:cs="Arial"/>
                <w:b/>
                <w:bCs/>
                <w:iCs/>
              </w:rPr>
            </w:pPr>
          </w:p>
        </w:tc>
        <w:tc>
          <w:tcPr>
            <w:tcW w:w="1188" w:type="dxa"/>
            <w:shd w:val="clear" w:color="auto" w:fill="auto"/>
          </w:tcPr>
          <w:p w:rsidR="009610A4" w:rsidRPr="009610A4" w:rsidRDefault="009610A4" w:rsidP="009610A4">
            <w:pPr>
              <w:jc w:val="center"/>
              <w:rPr>
                <w:rFonts w:cs="Arial"/>
                <w:b/>
                <w:bCs/>
                <w:iCs/>
              </w:rPr>
            </w:pPr>
            <w:r w:rsidRPr="009610A4">
              <w:rPr>
                <w:rFonts w:cs="Arial"/>
                <w:b/>
                <w:bCs/>
                <w:iCs/>
              </w:rPr>
              <w:t>Surname</w:t>
            </w:r>
          </w:p>
        </w:tc>
        <w:tc>
          <w:tcPr>
            <w:tcW w:w="1685" w:type="dxa"/>
            <w:shd w:val="clear" w:color="auto" w:fill="auto"/>
          </w:tcPr>
          <w:p w:rsidR="009610A4" w:rsidRPr="009610A4" w:rsidRDefault="009610A4" w:rsidP="009610A4">
            <w:pPr>
              <w:jc w:val="center"/>
              <w:rPr>
                <w:rFonts w:cs="Arial"/>
                <w:b/>
                <w:bCs/>
                <w:iCs/>
              </w:rPr>
            </w:pPr>
            <w:r w:rsidRPr="009610A4">
              <w:rPr>
                <w:rFonts w:cs="Arial"/>
                <w:b/>
                <w:bCs/>
                <w:iCs/>
              </w:rPr>
              <w:t>Company</w:t>
            </w:r>
          </w:p>
        </w:tc>
        <w:tc>
          <w:tcPr>
            <w:tcW w:w="2083" w:type="dxa"/>
            <w:shd w:val="clear" w:color="auto" w:fill="auto"/>
          </w:tcPr>
          <w:p w:rsidR="009610A4" w:rsidRPr="009610A4" w:rsidRDefault="009610A4" w:rsidP="009610A4">
            <w:pPr>
              <w:jc w:val="center"/>
              <w:rPr>
                <w:rFonts w:cs="Arial"/>
                <w:b/>
                <w:bCs/>
                <w:iCs/>
              </w:rPr>
            </w:pPr>
            <w:r w:rsidRPr="009610A4">
              <w:rPr>
                <w:rFonts w:cs="Arial"/>
                <w:b/>
                <w:bCs/>
                <w:iCs/>
              </w:rPr>
              <w:t>Voting Member Type</w:t>
            </w:r>
          </w:p>
        </w:tc>
        <w:tc>
          <w:tcPr>
            <w:tcW w:w="2455" w:type="dxa"/>
            <w:gridSpan w:val="2"/>
            <w:shd w:val="clear" w:color="auto" w:fill="auto"/>
          </w:tcPr>
          <w:p w:rsidR="009610A4" w:rsidRPr="009610A4" w:rsidRDefault="009610A4" w:rsidP="009610A4">
            <w:pPr>
              <w:jc w:val="center"/>
              <w:rPr>
                <w:rFonts w:cs="Arial"/>
                <w:b/>
                <w:bCs/>
                <w:iCs/>
              </w:rPr>
            </w:pPr>
            <w:r w:rsidRPr="009610A4">
              <w:rPr>
                <w:rFonts w:cs="Arial"/>
                <w:b/>
                <w:bCs/>
                <w:iCs/>
              </w:rPr>
              <w:t>Meetings Attended</w:t>
            </w:r>
            <w:r w:rsidRPr="009610A4">
              <w:rPr>
                <w:rFonts w:cs="Arial"/>
                <w:b/>
                <w:bCs/>
                <w:iCs/>
              </w:rPr>
              <w:br/>
              <w:t>(Month/Year)</w:t>
            </w:r>
          </w:p>
        </w:tc>
      </w:tr>
      <w:tr w:rsidR="005E24D6" w:rsidRPr="009610A4" w:rsidTr="00C86C9F">
        <w:tc>
          <w:tcPr>
            <w:tcW w:w="783" w:type="dxa"/>
            <w:shd w:val="clear" w:color="auto" w:fill="auto"/>
          </w:tcPr>
          <w:p w:rsidR="009610A4" w:rsidRPr="009610A4" w:rsidRDefault="001C150A" w:rsidP="009610A4">
            <w:pPr>
              <w:rPr>
                <w:rFonts w:cs="Arial"/>
                <w:bCs/>
                <w:iCs/>
              </w:rPr>
            </w:pPr>
            <w:r>
              <w:rPr>
                <w:rFonts w:cs="Arial"/>
                <w:bCs/>
                <w:iCs/>
              </w:rPr>
              <w:t>Mr.</w:t>
            </w:r>
          </w:p>
        </w:tc>
        <w:tc>
          <w:tcPr>
            <w:tcW w:w="1004" w:type="dxa"/>
            <w:shd w:val="clear" w:color="auto" w:fill="auto"/>
          </w:tcPr>
          <w:p w:rsidR="009610A4" w:rsidRPr="009610A4" w:rsidRDefault="000B22C9" w:rsidP="00CA10A1">
            <w:pPr>
              <w:rPr>
                <w:rFonts w:cs="Arial"/>
                <w:bCs/>
                <w:iCs/>
              </w:rPr>
            </w:pPr>
            <w:r>
              <w:rPr>
                <w:rFonts w:cs="Arial"/>
                <w:bCs/>
                <w:iCs/>
              </w:rPr>
              <w:t>Ron</w:t>
            </w:r>
          </w:p>
        </w:tc>
        <w:tc>
          <w:tcPr>
            <w:tcW w:w="1188" w:type="dxa"/>
            <w:shd w:val="clear" w:color="auto" w:fill="auto"/>
          </w:tcPr>
          <w:p w:rsidR="009610A4" w:rsidRPr="009610A4" w:rsidRDefault="000B22C9" w:rsidP="009610A4">
            <w:pPr>
              <w:rPr>
                <w:rFonts w:cs="Arial"/>
                <w:bCs/>
                <w:iCs/>
              </w:rPr>
            </w:pPr>
            <w:r>
              <w:rPr>
                <w:rFonts w:cs="Arial"/>
                <w:bCs/>
                <w:iCs/>
              </w:rPr>
              <w:t>Kramer</w:t>
            </w:r>
          </w:p>
        </w:tc>
        <w:tc>
          <w:tcPr>
            <w:tcW w:w="1685" w:type="dxa"/>
            <w:shd w:val="clear" w:color="auto" w:fill="auto"/>
          </w:tcPr>
          <w:p w:rsidR="00737F66" w:rsidRPr="009610A4" w:rsidRDefault="000B22C9" w:rsidP="00737F66">
            <w:pPr>
              <w:rPr>
                <w:rFonts w:cs="Arial"/>
                <w:bCs/>
                <w:iCs/>
              </w:rPr>
            </w:pPr>
            <w:r>
              <w:rPr>
                <w:rFonts w:cs="Arial"/>
                <w:bCs/>
                <w:iCs/>
              </w:rPr>
              <w:t>Gulfstream Aerospace Corp.</w:t>
            </w:r>
          </w:p>
        </w:tc>
        <w:tc>
          <w:tcPr>
            <w:tcW w:w="2083" w:type="dxa"/>
            <w:shd w:val="clear" w:color="auto" w:fill="auto"/>
          </w:tcPr>
          <w:p w:rsidR="00542A50" w:rsidRPr="00C86C9F" w:rsidRDefault="006E517D">
            <w:pPr>
              <w:rPr>
                <w:rFonts w:cs="Arial"/>
                <w:bCs/>
                <w:iCs/>
              </w:rPr>
            </w:pPr>
            <w:r>
              <w:rPr>
                <w:rFonts w:cs="Arial"/>
                <w:bCs/>
                <w:iCs/>
              </w:rPr>
              <w:t>Alternate Subscriber Voting Member (ALT/UVM)</w:t>
            </w:r>
          </w:p>
        </w:tc>
        <w:tc>
          <w:tcPr>
            <w:tcW w:w="1172" w:type="dxa"/>
            <w:shd w:val="clear" w:color="auto" w:fill="auto"/>
          </w:tcPr>
          <w:p w:rsidR="009610A4" w:rsidRPr="009610A4" w:rsidRDefault="000B22C9">
            <w:pPr>
              <w:rPr>
                <w:rFonts w:cs="Arial"/>
                <w:bCs/>
                <w:iCs/>
              </w:rPr>
            </w:pPr>
            <w:r>
              <w:rPr>
                <w:rFonts w:cs="Arial"/>
                <w:bCs/>
                <w:iCs/>
              </w:rPr>
              <w:t>Jun</w:t>
            </w:r>
            <w:r w:rsidR="00812BDE">
              <w:rPr>
                <w:rFonts w:cs="Arial"/>
                <w:bCs/>
                <w:iCs/>
              </w:rPr>
              <w:t xml:space="preserve">e </w:t>
            </w:r>
            <w:r>
              <w:rPr>
                <w:rFonts w:cs="Arial"/>
                <w:bCs/>
                <w:iCs/>
              </w:rPr>
              <w:t>2015</w:t>
            </w:r>
          </w:p>
        </w:tc>
        <w:tc>
          <w:tcPr>
            <w:tcW w:w="1283" w:type="dxa"/>
            <w:shd w:val="clear" w:color="auto" w:fill="auto"/>
          </w:tcPr>
          <w:p w:rsidR="009610A4" w:rsidRPr="00C9352E" w:rsidRDefault="000B22C9">
            <w:pPr>
              <w:rPr>
                <w:rFonts w:cs="Arial"/>
                <w:bCs/>
                <w:iCs/>
              </w:rPr>
            </w:pPr>
            <w:r>
              <w:rPr>
                <w:rFonts w:cs="Arial"/>
                <w:bCs/>
                <w:iCs/>
              </w:rPr>
              <w:t>Oct</w:t>
            </w:r>
            <w:r w:rsidR="00812BDE">
              <w:rPr>
                <w:rFonts w:cs="Arial"/>
                <w:bCs/>
                <w:iCs/>
              </w:rPr>
              <w:t xml:space="preserve">ober </w:t>
            </w:r>
            <w:r>
              <w:rPr>
                <w:rFonts w:cs="Arial"/>
                <w:bCs/>
                <w:iCs/>
              </w:rPr>
              <w:t>2015</w:t>
            </w:r>
          </w:p>
        </w:tc>
      </w:tr>
      <w:tr w:rsidR="005E24D6" w:rsidRPr="009610A4" w:rsidTr="00C86C9F">
        <w:tc>
          <w:tcPr>
            <w:tcW w:w="783" w:type="dxa"/>
            <w:shd w:val="clear" w:color="auto" w:fill="auto"/>
          </w:tcPr>
          <w:p w:rsidR="00614A39" w:rsidRPr="009610A4" w:rsidRDefault="00E149A3" w:rsidP="009610A4">
            <w:pPr>
              <w:rPr>
                <w:rFonts w:cs="Arial"/>
                <w:bCs/>
                <w:iCs/>
              </w:rPr>
            </w:pPr>
            <w:r>
              <w:rPr>
                <w:rFonts w:cs="Arial"/>
                <w:bCs/>
                <w:iCs/>
              </w:rPr>
              <w:t>Ms.</w:t>
            </w:r>
          </w:p>
        </w:tc>
        <w:tc>
          <w:tcPr>
            <w:tcW w:w="1004" w:type="dxa"/>
            <w:shd w:val="clear" w:color="auto" w:fill="auto"/>
          </w:tcPr>
          <w:p w:rsidR="00614A39" w:rsidRPr="009610A4" w:rsidRDefault="000B22C9" w:rsidP="000B22C9">
            <w:pPr>
              <w:jc w:val="both"/>
              <w:rPr>
                <w:rFonts w:cs="Arial"/>
                <w:bCs/>
                <w:iCs/>
              </w:rPr>
            </w:pPr>
            <w:r w:rsidRPr="000B22C9">
              <w:rPr>
                <w:rFonts w:cs="Arial"/>
                <w:bCs/>
                <w:iCs/>
              </w:rPr>
              <w:t xml:space="preserve">Ester </w:t>
            </w:r>
          </w:p>
        </w:tc>
        <w:tc>
          <w:tcPr>
            <w:tcW w:w="1188" w:type="dxa"/>
            <w:shd w:val="clear" w:color="auto" w:fill="auto"/>
          </w:tcPr>
          <w:p w:rsidR="00614A39" w:rsidRPr="009610A4" w:rsidRDefault="000B22C9" w:rsidP="009610A4">
            <w:pPr>
              <w:rPr>
                <w:rFonts w:cs="Arial"/>
                <w:bCs/>
                <w:iCs/>
              </w:rPr>
            </w:pPr>
            <w:r w:rsidRPr="000B22C9">
              <w:rPr>
                <w:rFonts w:cs="Arial"/>
                <w:bCs/>
                <w:iCs/>
              </w:rPr>
              <w:t>Sala-Bosch</w:t>
            </w:r>
          </w:p>
        </w:tc>
        <w:tc>
          <w:tcPr>
            <w:tcW w:w="1685" w:type="dxa"/>
            <w:shd w:val="clear" w:color="auto" w:fill="auto"/>
          </w:tcPr>
          <w:p w:rsidR="00614A39" w:rsidRPr="009610A4" w:rsidRDefault="000B22C9" w:rsidP="000B22C9">
            <w:pPr>
              <w:rPr>
                <w:rFonts w:cs="Arial"/>
                <w:bCs/>
                <w:iCs/>
              </w:rPr>
            </w:pPr>
            <w:r w:rsidRPr="000B22C9">
              <w:rPr>
                <w:rFonts w:cs="Arial"/>
                <w:bCs/>
                <w:iCs/>
              </w:rPr>
              <w:t>Rolls-R</w:t>
            </w:r>
            <w:r>
              <w:rPr>
                <w:rFonts w:cs="Arial"/>
                <w:bCs/>
                <w:iCs/>
              </w:rPr>
              <w:t>oyce Deutschland</w:t>
            </w:r>
          </w:p>
        </w:tc>
        <w:tc>
          <w:tcPr>
            <w:tcW w:w="2083" w:type="dxa"/>
            <w:shd w:val="clear" w:color="auto" w:fill="auto"/>
          </w:tcPr>
          <w:p w:rsidR="00614A39" w:rsidRPr="009610A4" w:rsidRDefault="006E517D">
            <w:pPr>
              <w:rPr>
                <w:rFonts w:cs="Arial"/>
                <w:bCs/>
                <w:iCs/>
              </w:rPr>
            </w:pPr>
            <w:r>
              <w:rPr>
                <w:rFonts w:cs="Arial"/>
                <w:bCs/>
                <w:iCs/>
              </w:rPr>
              <w:t>Alternate Subscriber Voting Member (ALT/UVM)</w:t>
            </w:r>
          </w:p>
        </w:tc>
        <w:tc>
          <w:tcPr>
            <w:tcW w:w="1172" w:type="dxa"/>
            <w:shd w:val="clear" w:color="auto" w:fill="auto"/>
          </w:tcPr>
          <w:p w:rsidR="00614A39" w:rsidRPr="00406713" w:rsidRDefault="008329E0" w:rsidP="005D056B">
            <w:pPr>
              <w:rPr>
                <w:rFonts w:cs="Arial"/>
                <w:bCs/>
                <w:iCs/>
              </w:rPr>
            </w:pPr>
            <w:r>
              <w:rPr>
                <w:rFonts w:cs="Arial"/>
                <w:bCs/>
                <w:iCs/>
              </w:rPr>
              <w:t>Mar</w:t>
            </w:r>
            <w:r w:rsidR="00812BDE">
              <w:rPr>
                <w:rFonts w:cs="Arial"/>
                <w:bCs/>
                <w:iCs/>
              </w:rPr>
              <w:t xml:space="preserve">ch </w:t>
            </w:r>
            <w:r>
              <w:rPr>
                <w:rFonts w:cs="Arial"/>
                <w:bCs/>
                <w:iCs/>
              </w:rPr>
              <w:t>2015</w:t>
            </w:r>
          </w:p>
        </w:tc>
        <w:tc>
          <w:tcPr>
            <w:tcW w:w="1283" w:type="dxa"/>
            <w:shd w:val="clear" w:color="auto" w:fill="auto"/>
          </w:tcPr>
          <w:p w:rsidR="00614A39" w:rsidRPr="00C9352E" w:rsidRDefault="008329E0">
            <w:pPr>
              <w:rPr>
                <w:rFonts w:cs="Arial"/>
                <w:bCs/>
                <w:iCs/>
              </w:rPr>
            </w:pPr>
            <w:r w:rsidRPr="005755EB">
              <w:rPr>
                <w:rFonts w:cs="Arial"/>
                <w:bCs/>
                <w:iCs/>
              </w:rPr>
              <w:t>Feb</w:t>
            </w:r>
            <w:r w:rsidR="00812BDE">
              <w:rPr>
                <w:rFonts w:cs="Arial"/>
                <w:bCs/>
                <w:iCs/>
              </w:rPr>
              <w:t xml:space="preserve">ruary </w:t>
            </w:r>
            <w:r w:rsidRPr="005755EB">
              <w:rPr>
                <w:rFonts w:cs="Arial"/>
                <w:bCs/>
                <w:iCs/>
              </w:rPr>
              <w:t>2016</w:t>
            </w:r>
          </w:p>
        </w:tc>
      </w:tr>
      <w:tr w:rsidR="005E24D6" w:rsidRPr="009610A4" w:rsidTr="00C86C9F">
        <w:tc>
          <w:tcPr>
            <w:tcW w:w="783" w:type="dxa"/>
            <w:shd w:val="clear" w:color="auto" w:fill="auto"/>
          </w:tcPr>
          <w:p w:rsidR="00737F66" w:rsidRDefault="001C150A" w:rsidP="009610A4">
            <w:pPr>
              <w:rPr>
                <w:rFonts w:cs="Arial"/>
                <w:bCs/>
                <w:iCs/>
              </w:rPr>
            </w:pPr>
            <w:r>
              <w:rPr>
                <w:rFonts w:cs="Arial"/>
                <w:bCs/>
                <w:iCs/>
              </w:rPr>
              <w:lastRenderedPageBreak/>
              <w:t>Mr.</w:t>
            </w:r>
          </w:p>
        </w:tc>
        <w:tc>
          <w:tcPr>
            <w:tcW w:w="1004" w:type="dxa"/>
            <w:shd w:val="clear" w:color="auto" w:fill="auto"/>
          </w:tcPr>
          <w:p w:rsidR="00737F66" w:rsidRDefault="008329E0" w:rsidP="008329E0">
            <w:pPr>
              <w:jc w:val="both"/>
              <w:rPr>
                <w:rFonts w:cs="Arial"/>
                <w:bCs/>
                <w:iCs/>
              </w:rPr>
            </w:pPr>
            <w:r w:rsidRPr="008329E0">
              <w:rPr>
                <w:rFonts w:cs="Arial"/>
                <w:bCs/>
                <w:iCs/>
              </w:rPr>
              <w:t xml:space="preserve">Bernd </w:t>
            </w:r>
          </w:p>
        </w:tc>
        <w:tc>
          <w:tcPr>
            <w:tcW w:w="1188" w:type="dxa"/>
            <w:shd w:val="clear" w:color="auto" w:fill="auto"/>
          </w:tcPr>
          <w:p w:rsidR="00737F66" w:rsidRDefault="008329E0" w:rsidP="009610A4">
            <w:pPr>
              <w:rPr>
                <w:rFonts w:cs="Arial"/>
                <w:bCs/>
                <w:iCs/>
              </w:rPr>
            </w:pPr>
            <w:proofErr w:type="spellStart"/>
            <w:r w:rsidRPr="008329E0">
              <w:rPr>
                <w:rFonts w:cs="Arial"/>
                <w:bCs/>
                <w:iCs/>
              </w:rPr>
              <w:t>Spelsberg</w:t>
            </w:r>
            <w:proofErr w:type="spellEnd"/>
          </w:p>
        </w:tc>
        <w:tc>
          <w:tcPr>
            <w:tcW w:w="1685" w:type="dxa"/>
            <w:shd w:val="clear" w:color="auto" w:fill="auto"/>
          </w:tcPr>
          <w:p w:rsidR="00737F66" w:rsidRDefault="008329E0" w:rsidP="009610A4">
            <w:pPr>
              <w:rPr>
                <w:rFonts w:cs="Arial"/>
                <w:bCs/>
                <w:iCs/>
              </w:rPr>
            </w:pPr>
            <w:r w:rsidRPr="008329E0">
              <w:rPr>
                <w:rFonts w:cs="Arial"/>
                <w:bCs/>
                <w:iCs/>
              </w:rPr>
              <w:t>Otto Fuchs KG</w:t>
            </w:r>
          </w:p>
        </w:tc>
        <w:tc>
          <w:tcPr>
            <w:tcW w:w="2083" w:type="dxa"/>
            <w:shd w:val="clear" w:color="auto" w:fill="auto"/>
          </w:tcPr>
          <w:p w:rsidR="00737F66" w:rsidRDefault="006E517D">
            <w:pPr>
              <w:rPr>
                <w:rFonts w:cs="Arial"/>
                <w:bCs/>
                <w:iCs/>
              </w:rPr>
            </w:pPr>
            <w:r>
              <w:rPr>
                <w:rFonts w:cs="Arial"/>
                <w:bCs/>
                <w:iCs/>
              </w:rPr>
              <w:t>Supplier Voting Member (SVM)</w:t>
            </w:r>
          </w:p>
        </w:tc>
        <w:tc>
          <w:tcPr>
            <w:tcW w:w="1172" w:type="dxa"/>
            <w:shd w:val="clear" w:color="auto" w:fill="auto"/>
          </w:tcPr>
          <w:p w:rsidR="00737F66" w:rsidRDefault="008329E0">
            <w:pPr>
              <w:rPr>
                <w:rFonts w:cs="Arial"/>
                <w:bCs/>
                <w:iCs/>
              </w:rPr>
            </w:pPr>
            <w:r>
              <w:rPr>
                <w:rFonts w:cs="Arial"/>
                <w:bCs/>
                <w:iCs/>
              </w:rPr>
              <w:t>Mar</w:t>
            </w:r>
            <w:r w:rsidR="00812BDE">
              <w:rPr>
                <w:rFonts w:cs="Arial"/>
                <w:bCs/>
                <w:iCs/>
              </w:rPr>
              <w:t xml:space="preserve">ch </w:t>
            </w:r>
            <w:r>
              <w:rPr>
                <w:rFonts w:cs="Arial"/>
                <w:bCs/>
                <w:iCs/>
              </w:rPr>
              <w:t>2015</w:t>
            </w:r>
          </w:p>
        </w:tc>
        <w:tc>
          <w:tcPr>
            <w:tcW w:w="1283" w:type="dxa"/>
            <w:shd w:val="clear" w:color="auto" w:fill="auto"/>
          </w:tcPr>
          <w:p w:rsidR="00737F66" w:rsidRPr="00C9352E" w:rsidRDefault="008329E0">
            <w:pPr>
              <w:rPr>
                <w:rFonts w:cs="Arial"/>
                <w:bCs/>
                <w:iCs/>
              </w:rPr>
            </w:pPr>
            <w:r>
              <w:rPr>
                <w:rFonts w:cs="Arial"/>
                <w:bCs/>
                <w:iCs/>
              </w:rPr>
              <w:t>Oct</w:t>
            </w:r>
            <w:r w:rsidR="00812BDE">
              <w:rPr>
                <w:rFonts w:cs="Arial"/>
                <w:bCs/>
                <w:iCs/>
              </w:rPr>
              <w:t xml:space="preserve">ober </w:t>
            </w:r>
            <w:r>
              <w:rPr>
                <w:rFonts w:cs="Arial"/>
                <w:bCs/>
                <w:iCs/>
              </w:rPr>
              <w:t>2015</w:t>
            </w:r>
          </w:p>
        </w:tc>
      </w:tr>
      <w:tr w:rsidR="005E24D6" w:rsidRPr="009610A4" w:rsidTr="00C86C9F">
        <w:tc>
          <w:tcPr>
            <w:tcW w:w="783" w:type="dxa"/>
            <w:shd w:val="clear" w:color="auto" w:fill="auto"/>
          </w:tcPr>
          <w:p w:rsidR="006F1D16" w:rsidRDefault="001C150A" w:rsidP="009610A4">
            <w:pPr>
              <w:rPr>
                <w:rFonts w:cs="Arial"/>
                <w:bCs/>
                <w:iCs/>
              </w:rPr>
            </w:pPr>
            <w:r>
              <w:rPr>
                <w:rFonts w:cs="Arial"/>
                <w:bCs/>
                <w:iCs/>
              </w:rPr>
              <w:t>Mr.</w:t>
            </w:r>
          </w:p>
        </w:tc>
        <w:tc>
          <w:tcPr>
            <w:tcW w:w="1004" w:type="dxa"/>
            <w:shd w:val="clear" w:color="auto" w:fill="auto"/>
          </w:tcPr>
          <w:p w:rsidR="006F1D16" w:rsidRDefault="00A33C7D" w:rsidP="006E3D24">
            <w:pPr>
              <w:jc w:val="both"/>
              <w:rPr>
                <w:rFonts w:cs="Arial"/>
                <w:bCs/>
                <w:iCs/>
              </w:rPr>
            </w:pPr>
            <w:r>
              <w:rPr>
                <w:rFonts w:cs="Arial"/>
                <w:bCs/>
                <w:iCs/>
              </w:rPr>
              <w:t>Dennis</w:t>
            </w:r>
          </w:p>
        </w:tc>
        <w:tc>
          <w:tcPr>
            <w:tcW w:w="1188" w:type="dxa"/>
            <w:shd w:val="clear" w:color="auto" w:fill="auto"/>
          </w:tcPr>
          <w:p w:rsidR="006F1D16" w:rsidRDefault="00A33C7D" w:rsidP="009610A4">
            <w:pPr>
              <w:rPr>
                <w:rFonts w:cs="Arial"/>
                <w:bCs/>
                <w:iCs/>
              </w:rPr>
            </w:pPr>
            <w:proofErr w:type="spellStart"/>
            <w:r w:rsidRPr="00A33C7D">
              <w:rPr>
                <w:rFonts w:cs="Arial"/>
                <w:bCs/>
                <w:iCs/>
              </w:rPr>
              <w:t>Slatton</w:t>
            </w:r>
            <w:proofErr w:type="spellEnd"/>
          </w:p>
        </w:tc>
        <w:tc>
          <w:tcPr>
            <w:tcW w:w="1685" w:type="dxa"/>
            <w:shd w:val="clear" w:color="auto" w:fill="auto"/>
          </w:tcPr>
          <w:p w:rsidR="006F1D16" w:rsidRDefault="00A33C7D" w:rsidP="009610A4">
            <w:pPr>
              <w:rPr>
                <w:rFonts w:cs="Arial"/>
                <w:bCs/>
                <w:iCs/>
              </w:rPr>
            </w:pPr>
            <w:r>
              <w:rPr>
                <w:rFonts w:cs="Arial"/>
                <w:bCs/>
                <w:iCs/>
              </w:rPr>
              <w:t>Bell Helicopter</w:t>
            </w:r>
          </w:p>
        </w:tc>
        <w:tc>
          <w:tcPr>
            <w:tcW w:w="2083" w:type="dxa"/>
            <w:shd w:val="clear" w:color="auto" w:fill="auto"/>
          </w:tcPr>
          <w:p w:rsidR="006F1D16" w:rsidRDefault="006E517D">
            <w:pPr>
              <w:rPr>
                <w:rFonts w:cs="Arial"/>
                <w:bCs/>
                <w:iCs/>
              </w:rPr>
            </w:pPr>
            <w:r>
              <w:rPr>
                <w:rFonts w:cs="Arial"/>
                <w:bCs/>
                <w:iCs/>
              </w:rPr>
              <w:t>Alternate Subscriber Voting Member (ALT/UVM)</w:t>
            </w:r>
          </w:p>
        </w:tc>
        <w:tc>
          <w:tcPr>
            <w:tcW w:w="1172" w:type="dxa"/>
            <w:shd w:val="clear" w:color="auto" w:fill="auto"/>
          </w:tcPr>
          <w:p w:rsidR="006F1D16" w:rsidRDefault="00A33C7D">
            <w:pPr>
              <w:rPr>
                <w:rFonts w:cs="Arial"/>
                <w:bCs/>
                <w:iCs/>
              </w:rPr>
            </w:pPr>
            <w:r>
              <w:rPr>
                <w:rFonts w:cs="Arial"/>
                <w:bCs/>
                <w:iCs/>
              </w:rPr>
              <w:t>Oct</w:t>
            </w:r>
            <w:r w:rsidR="00812BDE">
              <w:rPr>
                <w:rFonts w:cs="Arial"/>
                <w:bCs/>
                <w:iCs/>
              </w:rPr>
              <w:t>ober 201</w:t>
            </w:r>
            <w:r>
              <w:rPr>
                <w:rFonts w:cs="Arial"/>
                <w:bCs/>
                <w:iCs/>
              </w:rPr>
              <w:t>5</w:t>
            </w:r>
          </w:p>
        </w:tc>
        <w:tc>
          <w:tcPr>
            <w:tcW w:w="1283" w:type="dxa"/>
            <w:shd w:val="clear" w:color="auto" w:fill="auto"/>
          </w:tcPr>
          <w:p w:rsidR="006F1D16" w:rsidRPr="00C73C4D" w:rsidRDefault="00A33C7D">
            <w:pPr>
              <w:rPr>
                <w:rFonts w:cs="Arial"/>
                <w:bCs/>
                <w:iCs/>
                <w:highlight w:val="yellow"/>
              </w:rPr>
            </w:pPr>
            <w:r w:rsidRPr="00A33C7D">
              <w:rPr>
                <w:rFonts w:cs="Arial"/>
                <w:bCs/>
                <w:iCs/>
              </w:rPr>
              <w:t>Feb</w:t>
            </w:r>
            <w:r w:rsidR="00812BDE">
              <w:rPr>
                <w:rFonts w:cs="Arial"/>
                <w:bCs/>
                <w:iCs/>
              </w:rPr>
              <w:t>ruary</w:t>
            </w:r>
            <w:r w:rsidR="005166C2">
              <w:rPr>
                <w:rFonts w:cs="Arial"/>
                <w:bCs/>
                <w:iCs/>
              </w:rPr>
              <w:t xml:space="preserve"> </w:t>
            </w:r>
            <w:r w:rsidR="00812BDE">
              <w:rPr>
                <w:rFonts w:cs="Arial"/>
                <w:bCs/>
                <w:iCs/>
              </w:rPr>
              <w:t>20</w:t>
            </w:r>
            <w:r w:rsidRPr="00A33C7D">
              <w:rPr>
                <w:rFonts w:cs="Arial"/>
                <w:bCs/>
                <w:iCs/>
              </w:rPr>
              <w:t>16</w:t>
            </w:r>
          </w:p>
        </w:tc>
      </w:tr>
      <w:tr w:rsidR="005E24D6" w:rsidRPr="009610A4" w:rsidTr="00C86C9F">
        <w:tc>
          <w:tcPr>
            <w:tcW w:w="783" w:type="dxa"/>
            <w:shd w:val="clear" w:color="auto" w:fill="auto"/>
          </w:tcPr>
          <w:p w:rsidR="00A33C7D" w:rsidRDefault="001C150A" w:rsidP="009610A4">
            <w:pPr>
              <w:rPr>
                <w:rFonts w:cs="Arial"/>
                <w:bCs/>
                <w:iCs/>
              </w:rPr>
            </w:pPr>
            <w:r>
              <w:rPr>
                <w:rFonts w:cs="Arial"/>
                <w:bCs/>
                <w:iCs/>
              </w:rPr>
              <w:t>Mr.</w:t>
            </w:r>
          </w:p>
        </w:tc>
        <w:tc>
          <w:tcPr>
            <w:tcW w:w="1004" w:type="dxa"/>
            <w:shd w:val="clear" w:color="auto" w:fill="auto"/>
          </w:tcPr>
          <w:p w:rsidR="00A33C7D" w:rsidRDefault="00A33C7D" w:rsidP="006E3D24">
            <w:pPr>
              <w:jc w:val="both"/>
              <w:rPr>
                <w:rFonts w:cs="Arial"/>
                <w:bCs/>
                <w:iCs/>
              </w:rPr>
            </w:pPr>
            <w:r>
              <w:rPr>
                <w:rFonts w:cs="Arial"/>
                <w:bCs/>
                <w:iCs/>
              </w:rPr>
              <w:t>Jeff</w:t>
            </w:r>
          </w:p>
        </w:tc>
        <w:tc>
          <w:tcPr>
            <w:tcW w:w="1188" w:type="dxa"/>
            <w:shd w:val="clear" w:color="auto" w:fill="auto"/>
          </w:tcPr>
          <w:p w:rsidR="00A33C7D" w:rsidRPr="00A33C7D" w:rsidRDefault="00A33C7D" w:rsidP="009610A4">
            <w:pPr>
              <w:rPr>
                <w:rFonts w:cs="Arial"/>
                <w:bCs/>
                <w:iCs/>
              </w:rPr>
            </w:pPr>
            <w:r>
              <w:rPr>
                <w:rFonts w:cs="Arial"/>
                <w:bCs/>
                <w:iCs/>
              </w:rPr>
              <w:t>Cerre</w:t>
            </w:r>
          </w:p>
        </w:tc>
        <w:tc>
          <w:tcPr>
            <w:tcW w:w="1685" w:type="dxa"/>
            <w:shd w:val="clear" w:color="auto" w:fill="auto"/>
          </w:tcPr>
          <w:p w:rsidR="00A33C7D" w:rsidRDefault="005166C2">
            <w:pPr>
              <w:rPr>
                <w:rFonts w:cs="Arial"/>
                <w:bCs/>
                <w:iCs/>
              </w:rPr>
            </w:pPr>
            <w:r>
              <w:rPr>
                <w:rFonts w:cs="Arial"/>
                <w:bCs/>
                <w:iCs/>
              </w:rPr>
              <w:t>Cessna Aircraft Company</w:t>
            </w:r>
            <w:r w:rsidR="005755EB">
              <w:rPr>
                <w:rFonts w:cs="Arial"/>
                <w:bCs/>
                <w:iCs/>
              </w:rPr>
              <w:t xml:space="preserve"> </w:t>
            </w:r>
          </w:p>
        </w:tc>
        <w:tc>
          <w:tcPr>
            <w:tcW w:w="2083" w:type="dxa"/>
            <w:shd w:val="clear" w:color="auto" w:fill="auto"/>
          </w:tcPr>
          <w:p w:rsidR="00A33C7D" w:rsidRDefault="006E517D">
            <w:pPr>
              <w:rPr>
                <w:rFonts w:cs="Arial"/>
                <w:bCs/>
                <w:iCs/>
              </w:rPr>
            </w:pPr>
            <w:r>
              <w:rPr>
                <w:rFonts w:cs="Arial"/>
                <w:bCs/>
                <w:iCs/>
              </w:rPr>
              <w:t>Alternate Subscriber Voting Member (ALT/UVM)</w:t>
            </w:r>
          </w:p>
        </w:tc>
        <w:tc>
          <w:tcPr>
            <w:tcW w:w="1172" w:type="dxa"/>
            <w:shd w:val="clear" w:color="auto" w:fill="auto"/>
          </w:tcPr>
          <w:p w:rsidR="00A33C7D" w:rsidRDefault="005166C2" w:rsidP="009610A4">
            <w:pPr>
              <w:rPr>
                <w:rFonts w:cs="Arial"/>
                <w:bCs/>
                <w:iCs/>
              </w:rPr>
            </w:pPr>
            <w:r>
              <w:rPr>
                <w:rFonts w:cs="Arial"/>
                <w:bCs/>
                <w:iCs/>
              </w:rPr>
              <w:t>October 2015</w:t>
            </w:r>
          </w:p>
        </w:tc>
        <w:tc>
          <w:tcPr>
            <w:tcW w:w="1283" w:type="dxa"/>
            <w:shd w:val="clear" w:color="auto" w:fill="auto"/>
          </w:tcPr>
          <w:p w:rsidR="00A33C7D" w:rsidRPr="00A33C7D" w:rsidRDefault="005166C2" w:rsidP="009610A4">
            <w:pPr>
              <w:rPr>
                <w:rFonts w:cs="Arial"/>
                <w:bCs/>
                <w:iCs/>
              </w:rPr>
            </w:pPr>
            <w:r w:rsidRPr="00A33C7D">
              <w:rPr>
                <w:rFonts w:cs="Arial"/>
                <w:bCs/>
                <w:iCs/>
              </w:rPr>
              <w:t>Feb</w:t>
            </w:r>
            <w:r>
              <w:rPr>
                <w:rFonts w:cs="Arial"/>
                <w:bCs/>
                <w:iCs/>
              </w:rPr>
              <w:t>ruary 20</w:t>
            </w:r>
            <w:r w:rsidRPr="00A33C7D">
              <w:rPr>
                <w:rFonts w:cs="Arial"/>
                <w:bCs/>
                <w:iCs/>
              </w:rPr>
              <w:t>16</w:t>
            </w:r>
          </w:p>
        </w:tc>
      </w:tr>
    </w:tbl>
    <w:p w:rsidR="009610A4" w:rsidRPr="009610A4" w:rsidRDefault="009610A4" w:rsidP="009610A4">
      <w:pPr>
        <w:spacing w:after="0"/>
        <w:ind w:left="720"/>
      </w:pPr>
    </w:p>
    <w:p w:rsidR="00E62FD4" w:rsidRDefault="009610A4" w:rsidP="004506FF">
      <w:pPr>
        <w:ind w:left="720"/>
      </w:pPr>
      <w:r w:rsidRPr="009610A4">
        <w:t xml:space="preserve">Motion made by </w:t>
      </w:r>
      <w:r w:rsidR="005755EB">
        <w:t>Susan Lewis</w:t>
      </w:r>
      <w:r w:rsidRPr="009610A4">
        <w:t xml:space="preserve"> and seconded by </w:t>
      </w:r>
      <w:r w:rsidR="005755EB">
        <w:t>Daniel Backus</w:t>
      </w:r>
      <w:r w:rsidR="008329E0">
        <w:t xml:space="preserve"> </w:t>
      </w:r>
      <w:r w:rsidRPr="009610A4">
        <w:t>to approve the above voting member</w:t>
      </w:r>
      <w:r w:rsidR="00E236A4">
        <w:t>s</w:t>
      </w:r>
      <w:r w:rsidRPr="009610A4">
        <w:t xml:space="preserve">. Motion </w:t>
      </w:r>
      <w:r w:rsidR="00B53FD4">
        <w:t>P</w:t>
      </w:r>
      <w:r w:rsidRPr="009610A4">
        <w:t>assed</w:t>
      </w:r>
      <w:r w:rsidR="00B53FD4">
        <w:t>.</w:t>
      </w:r>
    </w:p>
    <w:p w:rsidR="002B3C14" w:rsidRDefault="006E3D24" w:rsidP="002B3C14">
      <w:pPr>
        <w:ind w:left="720"/>
      </w:pPr>
      <w:r>
        <w:t xml:space="preserve">The meeting </w:t>
      </w:r>
      <w:r w:rsidR="008329E0">
        <w:t>attendees were</w:t>
      </w:r>
      <w:r>
        <w:t xml:space="preserve"> requested to submit requests to become voting members using m-frm-01 at least 2 weeks prior to the meeting.</w:t>
      </w:r>
      <w:r w:rsidR="002B3C14" w:rsidRPr="002B3C14">
        <w:t xml:space="preserve"> </w:t>
      </w:r>
    </w:p>
    <w:p w:rsidR="002B3C14" w:rsidRDefault="002B3C14" w:rsidP="002B3C14">
      <w:pPr>
        <w:ind w:left="720"/>
      </w:pPr>
      <w:r>
        <w:t>The</w:t>
      </w:r>
      <w:r w:rsidRPr="007C56EB">
        <w:t xml:space="preserve"> </w:t>
      </w:r>
      <w:r w:rsidRPr="009F46F5">
        <w:t>compliance to voting requirements</w:t>
      </w:r>
      <w:r>
        <w:t xml:space="preserve"> or present voting members was reviewed. Ben Flores and Gardiner </w:t>
      </w:r>
      <w:proofErr w:type="spellStart"/>
      <w:r>
        <w:t>Rhynne</w:t>
      </w:r>
      <w:proofErr w:type="spellEnd"/>
      <w:r>
        <w:t xml:space="preserve"> have not met requirements for meeting attendance and there voting rights are to be removed.</w:t>
      </w:r>
    </w:p>
    <w:p w:rsidR="009F46F5" w:rsidRDefault="00535123" w:rsidP="009F46F5">
      <w:pPr>
        <w:pStyle w:val="ActionItem"/>
      </w:pPr>
      <w:r>
        <w:t>ACTION ITEM</w:t>
      </w:r>
      <w:r w:rsidR="009F46F5">
        <w:t>: Nigel Cook to arrange for eAuditNet to be updated for the new voting members</w:t>
      </w:r>
      <w:r w:rsidR="002B3C14">
        <w:t xml:space="preserve"> and removal of voting members who have not met requirements</w:t>
      </w:r>
      <w:r w:rsidR="009F46F5">
        <w:t>. (</w:t>
      </w:r>
      <w:r w:rsidR="002A6712">
        <w:t>Due Date</w:t>
      </w:r>
      <w:r w:rsidR="009F46F5">
        <w:t>: 15-</w:t>
      </w:r>
      <w:r w:rsidR="002B3C14">
        <w:t>Mar</w:t>
      </w:r>
      <w:r w:rsidR="009F46F5">
        <w:t>-2015)</w:t>
      </w:r>
    </w:p>
    <w:p w:rsidR="00C05769" w:rsidRDefault="00783798" w:rsidP="00017943">
      <w:pPr>
        <w:ind w:left="720"/>
      </w:pPr>
      <w:r>
        <w:t xml:space="preserve">Mike </w:t>
      </w:r>
      <w:proofErr w:type="spellStart"/>
      <w:r>
        <w:t>Noettl</w:t>
      </w:r>
      <w:proofErr w:type="spellEnd"/>
      <w:r w:rsidR="00C05769" w:rsidRPr="009610A4">
        <w:t xml:space="preserve"> </w:t>
      </w:r>
      <w:r w:rsidR="00C05769">
        <w:t>reviewed the presentation</w:t>
      </w:r>
      <w:r w:rsidR="00C05769" w:rsidRPr="009610A4">
        <w:t xml:space="preserve"> on the </w:t>
      </w:r>
      <w:r w:rsidR="00C05769" w:rsidRPr="00783798">
        <w:t>Supplier Mentoring Program</w:t>
      </w:r>
      <w:r w:rsidR="00C05769" w:rsidRPr="009610A4">
        <w:t>.</w:t>
      </w:r>
      <w:r w:rsidR="00124E96">
        <w:t xml:space="preserve"> The presentation is out of date and </w:t>
      </w:r>
      <w:r w:rsidR="001C150A">
        <w:t>an</w:t>
      </w:r>
      <w:r w:rsidR="00124E96">
        <w:t xml:space="preserve"> updated version is required. Mike </w:t>
      </w:r>
      <w:proofErr w:type="spellStart"/>
      <w:r w:rsidR="00124E96">
        <w:t>Noettl</w:t>
      </w:r>
      <w:proofErr w:type="spellEnd"/>
      <w:r w:rsidR="00124E96">
        <w:t xml:space="preserve"> sent an email to </w:t>
      </w:r>
      <w:r w:rsidR="00124E96" w:rsidRPr="00124E96">
        <w:t>Lisa Donahoe</w:t>
      </w:r>
      <w:r w:rsidR="00124E96">
        <w:t xml:space="preserve"> requesting an updated presentation.</w:t>
      </w:r>
    </w:p>
    <w:p w:rsidR="00E62FD4" w:rsidRDefault="004922A8" w:rsidP="00E62FD4">
      <w:pPr>
        <w:pStyle w:val="Heading1"/>
      </w:pPr>
      <w:bookmarkStart w:id="93" w:name="_Toc383078219"/>
      <w:bookmarkStart w:id="94" w:name="_Toc383078455"/>
      <w:bookmarkStart w:id="95" w:name="_Toc383163814"/>
      <w:bookmarkStart w:id="96" w:name="_Toc384042805"/>
      <w:bookmarkStart w:id="97" w:name="_Toc388531054"/>
      <w:bookmarkStart w:id="98" w:name="_Toc388531301"/>
      <w:bookmarkStart w:id="99" w:name="_Toc388534219"/>
      <w:bookmarkStart w:id="100" w:name="_Toc390067097"/>
      <w:bookmarkStart w:id="101" w:name="_Toc392158410"/>
      <w:bookmarkStart w:id="102" w:name="_Toc393438913"/>
      <w:bookmarkStart w:id="103" w:name="_Toc393441877"/>
      <w:bookmarkStart w:id="104" w:name="_Toc393442064"/>
      <w:bookmarkStart w:id="105" w:name="_Toc403115975"/>
      <w:bookmarkStart w:id="106" w:name="_Toc403466344"/>
      <w:bookmarkStart w:id="107" w:name="_Toc403466545"/>
      <w:bookmarkStart w:id="108" w:name="_Toc403466881"/>
      <w:bookmarkStart w:id="109" w:name="_Toc403467000"/>
      <w:bookmarkStart w:id="110" w:name="_Toc410024221"/>
      <w:bookmarkStart w:id="111" w:name="_Toc414973841"/>
      <w:bookmarkStart w:id="112" w:name="_Toc415125203"/>
      <w:bookmarkStart w:id="113" w:name="_Toc415125623"/>
      <w:bookmarkStart w:id="114" w:name="_Toc420575661"/>
      <w:bookmarkStart w:id="115" w:name="_Toc424207200"/>
      <w:bookmarkStart w:id="116" w:name="_Toc424209329"/>
      <w:r w:rsidRPr="00783798">
        <w:t>Checklist Strategic Plan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E62FD4">
        <w:t xml:space="preserve"> – Open</w:t>
      </w:r>
    </w:p>
    <w:p w:rsidR="008329E0" w:rsidRDefault="004922A8" w:rsidP="008314B2">
      <w:pPr>
        <w:pStyle w:val="Body"/>
      </w:pPr>
      <w:r>
        <w:t>Nigel Cook</w:t>
      </w:r>
      <w:r w:rsidR="008314B2">
        <w:t xml:space="preserve"> reviewed the present status of the checklist strategic plan. </w:t>
      </w:r>
    </w:p>
    <w:p w:rsidR="008329E0" w:rsidRDefault="008329E0" w:rsidP="008329E0">
      <w:pPr>
        <w:pStyle w:val="Body"/>
      </w:pPr>
      <w:r>
        <w:t xml:space="preserve">Due to the need to give </w:t>
      </w:r>
      <w:r w:rsidR="001C150A">
        <w:t>90-day</w:t>
      </w:r>
      <w:r>
        <w:t xml:space="preserve"> effectivity for AC7108/1 and the amount of work to implement the new checklists the implementation date has shifted back to 5</w:t>
      </w:r>
      <w:r w:rsidRPr="008329E0">
        <w:rPr>
          <w:vertAlign w:val="superscript"/>
        </w:rPr>
        <w:t>th</w:t>
      </w:r>
      <w:r>
        <w:t xml:space="preserve"> June 2016.</w:t>
      </w:r>
    </w:p>
    <w:p w:rsidR="008329E0" w:rsidRDefault="008329E0" w:rsidP="008314B2">
      <w:pPr>
        <w:pStyle w:val="Body"/>
      </w:pPr>
      <w:r>
        <w:t xml:space="preserve">All the new checklists will be issued by </w:t>
      </w:r>
      <w:r w:rsidR="000435FC">
        <w:t>5</w:t>
      </w:r>
      <w:r w:rsidR="000435FC" w:rsidRPr="000435FC">
        <w:rPr>
          <w:vertAlign w:val="superscript"/>
        </w:rPr>
        <w:t>th</w:t>
      </w:r>
      <w:r w:rsidR="003372D4">
        <w:t xml:space="preserve"> March 2016</w:t>
      </w:r>
    </w:p>
    <w:p w:rsidR="008314B2" w:rsidRDefault="003372D4" w:rsidP="008314B2">
      <w:pPr>
        <w:pStyle w:val="Body"/>
      </w:pPr>
      <w:r>
        <w:t>Because the checklists have gone through a revision letter change they will be treated as new technical revisions, or new checklists, in regard to modified scope (SMART checklist). This means that for a mature supplier the first audit to the new checklists will be full scope.</w:t>
      </w:r>
    </w:p>
    <w:p w:rsidR="00BB7781" w:rsidRDefault="00BB7781" w:rsidP="008314B2">
      <w:pPr>
        <w:pStyle w:val="Body"/>
      </w:pPr>
      <w:r>
        <w:t>For suppliers who have an audit just after the effectivity of the new checklists, is it acceptable if their self-audit was done to the previous revision?</w:t>
      </w:r>
    </w:p>
    <w:p w:rsidR="00134D2F" w:rsidRDefault="00134D2F" w:rsidP="008314B2">
      <w:pPr>
        <w:pStyle w:val="Body"/>
      </w:pPr>
      <w:r>
        <w:t>Motion made by Susan Lewis and seconded by Daniel Backus to accept a supplier’s self-audit to the present revision of the checklists for audits starting before 1</w:t>
      </w:r>
      <w:r w:rsidRPr="00134D2F">
        <w:rPr>
          <w:vertAlign w:val="superscript"/>
        </w:rPr>
        <w:t>st</w:t>
      </w:r>
      <w:r>
        <w:t xml:space="preserve"> September. Motion passed.</w:t>
      </w:r>
    </w:p>
    <w:p w:rsidR="00783798" w:rsidRPr="009610A4" w:rsidRDefault="00535123" w:rsidP="00783798">
      <w:pPr>
        <w:pStyle w:val="ActionItem"/>
      </w:pPr>
      <w:r>
        <w:rPr>
          <w:lang w:val="en-GB"/>
        </w:rPr>
        <w:t>ACTION ITEM</w:t>
      </w:r>
      <w:r w:rsidR="00783798">
        <w:rPr>
          <w:lang w:val="en-GB"/>
        </w:rPr>
        <w:t xml:space="preserve">: Nigel Cook to notify auditors and audit reviewers </w:t>
      </w:r>
      <w:r w:rsidR="00783798" w:rsidRPr="006F1B84">
        <w:rPr>
          <w:lang w:val="en-GB"/>
        </w:rPr>
        <w:t xml:space="preserve">that </w:t>
      </w:r>
      <w:r w:rsidR="00783798">
        <w:t>a supplier’s self-audit to the present revision of the checklists for audits starting before 1</w:t>
      </w:r>
      <w:r w:rsidR="00783798" w:rsidRPr="00134D2F">
        <w:rPr>
          <w:vertAlign w:val="superscript"/>
        </w:rPr>
        <w:t>st</w:t>
      </w:r>
      <w:r w:rsidR="00783798">
        <w:t xml:space="preserve"> September</w:t>
      </w:r>
      <w:r w:rsidR="00783798">
        <w:rPr>
          <w:lang w:val="en-GB"/>
        </w:rPr>
        <w:t xml:space="preserve"> is acceptable since there are no technical changes between the present revision and the new checklist strategy checklists</w:t>
      </w:r>
      <w:r w:rsidR="00191DD4">
        <w:rPr>
          <w:lang w:val="en-GB"/>
        </w:rPr>
        <w:t>.</w:t>
      </w:r>
      <w:r w:rsidR="00783798">
        <w:rPr>
          <w:lang w:val="en-GB"/>
        </w:rPr>
        <w:t xml:space="preserve"> </w:t>
      </w:r>
      <w:r w:rsidR="00783798" w:rsidRPr="006F1B84">
        <w:rPr>
          <w:lang w:val="en-GB"/>
        </w:rPr>
        <w:t xml:space="preserve">(Due Date: </w:t>
      </w:r>
      <w:r w:rsidR="00783798">
        <w:rPr>
          <w:lang w:val="en-GB"/>
        </w:rPr>
        <w:t>31</w:t>
      </w:r>
      <w:r w:rsidR="00783798" w:rsidRPr="006F1B84">
        <w:rPr>
          <w:lang w:val="en-GB"/>
        </w:rPr>
        <w:t>-</w:t>
      </w:r>
      <w:r w:rsidR="00783798">
        <w:rPr>
          <w:lang w:val="en-GB"/>
        </w:rPr>
        <w:t>Mar</w:t>
      </w:r>
      <w:r w:rsidR="00191DD4">
        <w:rPr>
          <w:lang w:val="en-GB"/>
        </w:rPr>
        <w:t>-2016)</w:t>
      </w:r>
    </w:p>
    <w:p w:rsidR="009610A4" w:rsidRPr="009610A4" w:rsidRDefault="004922A8" w:rsidP="004922A8">
      <w:pPr>
        <w:pStyle w:val="Heading1"/>
      </w:pPr>
      <w:r w:rsidRPr="004922A8">
        <w:t>Auditor Conference Feedback</w:t>
      </w:r>
      <w:r w:rsidR="009610A4" w:rsidRPr="009610A4">
        <w:t xml:space="preserve"> – open</w:t>
      </w:r>
    </w:p>
    <w:p w:rsidR="002B13F4" w:rsidRDefault="002B13F4" w:rsidP="009610A4">
      <w:pPr>
        <w:ind w:left="720"/>
      </w:pPr>
      <w:r>
        <w:t xml:space="preserve">Nigel presented the </w:t>
      </w:r>
      <w:r w:rsidRPr="00434B4D">
        <w:t>auditor feedback</w:t>
      </w:r>
      <w:r>
        <w:t xml:space="preserve"> on subject matter items for the October 2016 Auditor Conference.</w:t>
      </w:r>
    </w:p>
    <w:p w:rsidR="005956A7" w:rsidRDefault="005956A7" w:rsidP="009610A4">
      <w:pPr>
        <w:ind w:left="720"/>
      </w:pPr>
      <w:r>
        <w:t>Items for the next auditor conference:</w:t>
      </w:r>
    </w:p>
    <w:p w:rsidR="00027FDD" w:rsidRPr="00027FDD" w:rsidRDefault="00027FDD" w:rsidP="00434B4D">
      <w:pPr>
        <w:spacing w:after="0"/>
        <w:ind w:left="360" w:firstLine="357"/>
        <w:rPr>
          <w:b/>
        </w:rPr>
      </w:pPr>
      <w:r w:rsidRPr="00027FDD">
        <w:rPr>
          <w:b/>
        </w:rPr>
        <w:lastRenderedPageBreak/>
        <w:t>Saturday</w:t>
      </w:r>
      <w:r w:rsidR="002B13F4">
        <w:rPr>
          <w:b/>
        </w:rPr>
        <w:t xml:space="preserve"> PM </w:t>
      </w:r>
      <w:r w:rsidRPr="00027FDD">
        <w:rPr>
          <w:b/>
        </w:rPr>
        <w:t>Presentations</w:t>
      </w:r>
      <w:r w:rsidR="00434B4D">
        <w:rPr>
          <w:b/>
        </w:rPr>
        <w:t>:</w:t>
      </w:r>
    </w:p>
    <w:p w:rsidR="00027FDD" w:rsidRDefault="00B46103" w:rsidP="00434B4D">
      <w:pPr>
        <w:pStyle w:val="ListParagraph"/>
        <w:numPr>
          <w:ilvl w:val="0"/>
          <w:numId w:val="15"/>
        </w:numPr>
        <w:ind w:left="1080"/>
      </w:pPr>
      <w:r>
        <w:t>Auditor Consistency:</w:t>
      </w:r>
      <w:r w:rsidR="00027FDD">
        <w:t xml:space="preserve"> Mike Stolze and sub</w:t>
      </w:r>
      <w:r w:rsidR="00BA6594">
        <w:t>-</w:t>
      </w:r>
      <w:r w:rsidR="00027FDD">
        <w:t>team</w:t>
      </w:r>
    </w:p>
    <w:p w:rsidR="002B13F4" w:rsidRDefault="00B46103" w:rsidP="00434B4D">
      <w:pPr>
        <w:pStyle w:val="ListParagraph"/>
        <w:numPr>
          <w:ilvl w:val="0"/>
          <w:numId w:val="15"/>
        </w:numPr>
        <w:ind w:left="1080"/>
      </w:pPr>
      <w:r>
        <w:t>Auditor Advisories:</w:t>
      </w:r>
      <w:r w:rsidR="00213D29">
        <w:t xml:space="preserve"> Robert Nixon</w:t>
      </w:r>
    </w:p>
    <w:p w:rsidR="00027FDD" w:rsidRDefault="00B46103" w:rsidP="00434B4D">
      <w:pPr>
        <w:pStyle w:val="ListParagraph"/>
        <w:numPr>
          <w:ilvl w:val="0"/>
          <w:numId w:val="15"/>
        </w:numPr>
        <w:ind w:left="1080"/>
      </w:pPr>
      <w:r>
        <w:t>NCR Writing and Voided NCRs:</w:t>
      </w:r>
      <w:r w:rsidR="00213D29">
        <w:t xml:space="preserve"> Ethan Akins</w:t>
      </w:r>
    </w:p>
    <w:p w:rsidR="00027FDD" w:rsidRDefault="00213D29" w:rsidP="00434B4D">
      <w:pPr>
        <w:pStyle w:val="ListParagraph"/>
        <w:numPr>
          <w:ilvl w:val="0"/>
          <w:numId w:val="15"/>
        </w:numPr>
        <w:ind w:left="1080"/>
      </w:pPr>
      <w:r>
        <w:t>C</w:t>
      </w:r>
      <w:r w:rsidR="00027FDD">
        <w:t xml:space="preserve">hecklist </w:t>
      </w:r>
      <w:r w:rsidR="00B46103">
        <w:t>Strategy:</w:t>
      </w:r>
      <w:r>
        <w:t xml:space="preserve"> Nigel Cook</w:t>
      </w:r>
    </w:p>
    <w:p w:rsidR="00027FDD" w:rsidRDefault="00027FDD" w:rsidP="00434B4D">
      <w:pPr>
        <w:pStyle w:val="ListParagraph"/>
        <w:rPr>
          <w:b/>
        </w:rPr>
      </w:pPr>
    </w:p>
    <w:p w:rsidR="00027FDD" w:rsidRPr="00027FDD" w:rsidRDefault="00027FDD" w:rsidP="00434B4D">
      <w:pPr>
        <w:pStyle w:val="ListParagraph"/>
        <w:rPr>
          <w:b/>
        </w:rPr>
      </w:pPr>
      <w:r w:rsidRPr="00027FDD">
        <w:rPr>
          <w:b/>
        </w:rPr>
        <w:t>Sunday Presentations</w:t>
      </w:r>
      <w:r w:rsidR="00434B4D">
        <w:rPr>
          <w:b/>
        </w:rPr>
        <w:t>:</w:t>
      </w:r>
    </w:p>
    <w:p w:rsidR="005956A7" w:rsidRDefault="00B46103" w:rsidP="00434B4D">
      <w:pPr>
        <w:pStyle w:val="ListParagraph"/>
        <w:numPr>
          <w:ilvl w:val="0"/>
          <w:numId w:val="15"/>
        </w:numPr>
        <w:ind w:left="1080"/>
      </w:pPr>
      <w:r>
        <w:t>IVD:</w:t>
      </w:r>
      <w:r w:rsidR="005956A7">
        <w:t xml:space="preserve"> Hal Abel</w:t>
      </w:r>
      <w:r w:rsidR="00027FDD">
        <w:t xml:space="preserve"> </w:t>
      </w:r>
    </w:p>
    <w:p w:rsidR="00783798" w:rsidRDefault="00783798" w:rsidP="00434B4D">
      <w:pPr>
        <w:ind w:left="1080"/>
      </w:pPr>
      <w:r>
        <w:t>This is a carryover presentation from October 2015</w:t>
      </w:r>
    </w:p>
    <w:p w:rsidR="005956A7" w:rsidRDefault="00213D29" w:rsidP="00434B4D">
      <w:pPr>
        <w:pStyle w:val="ListParagraph"/>
        <w:numPr>
          <w:ilvl w:val="0"/>
          <w:numId w:val="15"/>
        </w:numPr>
        <w:ind w:left="1080"/>
      </w:pPr>
      <w:r>
        <w:t>Prime Escapes</w:t>
      </w:r>
      <w:r w:rsidR="00B46103">
        <w:t>:</w:t>
      </w:r>
      <w:r w:rsidR="006A328F">
        <w:t xml:space="preserve"> Hal</w:t>
      </w:r>
      <w:r w:rsidR="009451C6">
        <w:t xml:space="preserve"> Abel</w:t>
      </w:r>
      <w:r w:rsidR="00783798">
        <w:t xml:space="preserve"> (Lead)</w:t>
      </w:r>
      <w:r w:rsidR="006A328F">
        <w:t>, Jeremy</w:t>
      </w:r>
      <w:r w:rsidR="009451C6">
        <w:t xml:space="preserve"> Phillips</w:t>
      </w:r>
      <w:r w:rsidR="006A328F">
        <w:t>, Michael Coleman</w:t>
      </w:r>
      <w:r w:rsidR="009451C6">
        <w:t>, Et</w:t>
      </w:r>
      <w:r w:rsidR="00B42FEF">
        <w:t>h</w:t>
      </w:r>
      <w:r w:rsidR="009451C6">
        <w:t>an Akins</w:t>
      </w:r>
    </w:p>
    <w:p w:rsidR="00CA3A57" w:rsidRDefault="00CA3A57" w:rsidP="00434B4D">
      <w:pPr>
        <w:ind w:left="1080"/>
      </w:pPr>
      <w:r>
        <w:t>No presentation at this time, still gathering data.</w:t>
      </w:r>
      <w:r w:rsidR="002C21ED">
        <w:t xml:space="preserve"> These are not just escapes, they are also issues seen by Subscribers, consider changing the title of the presentation.</w:t>
      </w:r>
    </w:p>
    <w:p w:rsidR="005956A7" w:rsidRDefault="005956A7" w:rsidP="00434B4D">
      <w:pPr>
        <w:pStyle w:val="ListParagraph"/>
        <w:numPr>
          <w:ilvl w:val="0"/>
          <w:numId w:val="15"/>
        </w:numPr>
        <w:ind w:left="1080"/>
      </w:pPr>
      <w:r>
        <w:t>Cessn</w:t>
      </w:r>
      <w:r w:rsidR="00B46103">
        <w:t>a Specification System Changes:</w:t>
      </w:r>
      <w:r>
        <w:t xml:space="preserve"> Jeremy Phillips</w:t>
      </w:r>
    </w:p>
    <w:p w:rsidR="00CA3A57" w:rsidRDefault="00CA3A57" w:rsidP="00434B4D">
      <w:pPr>
        <w:ind w:left="1080"/>
      </w:pPr>
      <w:r>
        <w:t>No presentation at this time.</w:t>
      </w:r>
    </w:p>
    <w:p w:rsidR="005956A7" w:rsidRDefault="005956A7" w:rsidP="00434B4D">
      <w:pPr>
        <w:pStyle w:val="ListParagraph"/>
        <w:numPr>
          <w:ilvl w:val="0"/>
          <w:numId w:val="15"/>
        </w:numPr>
        <w:ind w:left="1080"/>
      </w:pPr>
      <w:r>
        <w:t xml:space="preserve">Specification Status (Superseded, replaced by, </w:t>
      </w:r>
      <w:r w:rsidR="00260C2E">
        <w:t>etc.</w:t>
      </w:r>
      <w:r>
        <w:t>)</w:t>
      </w:r>
      <w:r w:rsidR="00B46103">
        <w:t>:</w:t>
      </w:r>
      <w:r w:rsidR="006A328F">
        <w:t xml:space="preserve"> Mike </w:t>
      </w:r>
      <w:proofErr w:type="spellStart"/>
      <w:r w:rsidR="006A328F">
        <w:t>Noettl</w:t>
      </w:r>
      <w:proofErr w:type="spellEnd"/>
      <w:r w:rsidR="006A328F">
        <w:t>, Hal Abel, Mike Coleman, Susan Lewis</w:t>
      </w:r>
      <w:r w:rsidR="00783798">
        <w:t xml:space="preserve"> (Lead)</w:t>
      </w:r>
      <w:r w:rsidR="009451C6">
        <w:t>, Robert Nixon</w:t>
      </w:r>
      <w:r w:rsidR="006A328F">
        <w:t>.</w:t>
      </w:r>
    </w:p>
    <w:p w:rsidR="00CA3A57" w:rsidRDefault="00783798" w:rsidP="00434B4D">
      <w:pPr>
        <w:ind w:left="1080"/>
      </w:pPr>
      <w:r>
        <w:t>A</w:t>
      </w:r>
      <w:r w:rsidR="00CA3A57">
        <w:t xml:space="preserve"> preliminary draft of the </w:t>
      </w:r>
      <w:r w:rsidR="00CA3A57" w:rsidRPr="00783798">
        <w:t>Specification Status Presentation</w:t>
      </w:r>
      <w:r w:rsidR="00CA3A57">
        <w:t xml:space="preserve"> </w:t>
      </w:r>
      <w:r>
        <w:t>was</w:t>
      </w:r>
      <w:r w:rsidR="00CA3A57">
        <w:t xml:space="preserve"> review</w:t>
      </w:r>
      <w:r>
        <w:t>ed</w:t>
      </w:r>
      <w:r w:rsidR="00CA3A57">
        <w:t>. This draft addresses the basic Specification Status.</w:t>
      </w:r>
      <w:r w:rsidR="00C40F00">
        <w:t xml:space="preserve"> If people have further information/</w:t>
      </w:r>
      <w:r w:rsidR="001C150A">
        <w:t>definitions,</w:t>
      </w:r>
      <w:r w:rsidR="00C40F00">
        <w:t xml:space="preserve"> then send to Susan Lewis.</w:t>
      </w:r>
    </w:p>
    <w:p w:rsidR="00C40F00" w:rsidRDefault="00535123" w:rsidP="00783798">
      <w:pPr>
        <w:pStyle w:val="ActionItem"/>
      </w:pPr>
      <w:r>
        <w:t>ACTION ITEM</w:t>
      </w:r>
      <w:r w:rsidR="00783798">
        <w:t xml:space="preserve">: </w:t>
      </w:r>
      <w:r w:rsidR="00C40F00">
        <w:t xml:space="preserve">Nigel </w:t>
      </w:r>
      <w:r w:rsidR="007D56DF">
        <w:t xml:space="preserve">Cook </w:t>
      </w:r>
      <w:r w:rsidR="00C40F00">
        <w:t xml:space="preserve">to circulate </w:t>
      </w:r>
      <w:r w:rsidR="00783798" w:rsidRPr="00783798">
        <w:t xml:space="preserve">the Specification Status </w:t>
      </w:r>
      <w:r w:rsidR="00C40F00">
        <w:t xml:space="preserve">presentation to Subscribers for feedback </w:t>
      </w:r>
      <w:r w:rsidR="00783798">
        <w:t xml:space="preserve">to Susan Lewis </w:t>
      </w:r>
      <w:r w:rsidR="00C40F00">
        <w:t>on additional</w:t>
      </w:r>
      <w:r w:rsidR="00783798">
        <w:t xml:space="preserve"> terms and existing definitions</w:t>
      </w:r>
      <w:r w:rsidR="00191DD4">
        <w:t>.</w:t>
      </w:r>
      <w:r w:rsidR="00783798">
        <w:t xml:space="preserve"> </w:t>
      </w:r>
      <w:r w:rsidR="00783798" w:rsidRPr="006F1B84">
        <w:rPr>
          <w:lang w:val="en-GB"/>
        </w:rPr>
        <w:t xml:space="preserve">(Due Date: </w:t>
      </w:r>
      <w:r w:rsidR="00783798">
        <w:rPr>
          <w:lang w:val="en-GB"/>
        </w:rPr>
        <w:t>31</w:t>
      </w:r>
      <w:r w:rsidR="00783798" w:rsidRPr="006F1B84">
        <w:rPr>
          <w:lang w:val="en-GB"/>
        </w:rPr>
        <w:t>-</w:t>
      </w:r>
      <w:r w:rsidR="00783798">
        <w:rPr>
          <w:lang w:val="en-GB"/>
        </w:rPr>
        <w:t>Mar</w:t>
      </w:r>
      <w:r w:rsidR="00783798" w:rsidRPr="006F1B84">
        <w:rPr>
          <w:lang w:val="en-GB"/>
        </w:rPr>
        <w:t>-2016)</w:t>
      </w:r>
    </w:p>
    <w:p w:rsidR="00CA3A57" w:rsidRDefault="00CA3A57" w:rsidP="00434B4D">
      <w:pPr>
        <w:ind w:left="1080"/>
      </w:pPr>
      <w:r>
        <w:t xml:space="preserve">A large amount of information from an </w:t>
      </w:r>
      <w:r w:rsidRPr="00783798">
        <w:t>ANSI document</w:t>
      </w:r>
      <w:r>
        <w:t xml:space="preserve"> was submitted to the Team Members by Susan Lewis and </w:t>
      </w:r>
      <w:r w:rsidR="00965B8F">
        <w:t>was</w:t>
      </w:r>
      <w:r>
        <w:t xml:space="preserve"> reviewed.</w:t>
      </w:r>
    </w:p>
    <w:p w:rsidR="005956A7" w:rsidRDefault="005956A7" w:rsidP="00434B4D">
      <w:pPr>
        <w:pStyle w:val="ListParagraph"/>
        <w:numPr>
          <w:ilvl w:val="0"/>
          <w:numId w:val="15"/>
        </w:numPr>
        <w:ind w:left="1080"/>
      </w:pPr>
      <w:r>
        <w:t>Zinc/Nickel Plating</w:t>
      </w:r>
      <w:r w:rsidR="00B46103">
        <w:t>:</w:t>
      </w:r>
      <w:r w:rsidR="006A328F">
        <w:t xml:space="preserve"> Mike Coleman (Lead)</w:t>
      </w:r>
      <w:r w:rsidR="007A32AC">
        <w:t xml:space="preserve">, </w:t>
      </w:r>
      <w:r w:rsidR="00C40F00">
        <w:t xml:space="preserve">Mark Pollack, </w:t>
      </w:r>
      <w:r w:rsidR="007A32AC">
        <w:t>Jim Cummings</w:t>
      </w:r>
      <w:r w:rsidR="009451C6">
        <w:t>, Ethan Akins</w:t>
      </w:r>
      <w:r w:rsidR="007A32AC">
        <w:t>.</w:t>
      </w:r>
    </w:p>
    <w:p w:rsidR="00CA3A57" w:rsidRDefault="00965B8F" w:rsidP="00434B4D">
      <w:pPr>
        <w:ind w:left="1080"/>
      </w:pPr>
      <w:r>
        <w:t>Not presentation at this time, w</w:t>
      </w:r>
      <w:r w:rsidR="00C40F00">
        <w:t>ill have at least an outline for June, needs to go through Boeing approval for release</w:t>
      </w:r>
      <w:r>
        <w:t>.</w:t>
      </w:r>
    </w:p>
    <w:p w:rsidR="005956A7" w:rsidRDefault="005956A7" w:rsidP="00434B4D">
      <w:pPr>
        <w:pStyle w:val="ListParagraph"/>
        <w:numPr>
          <w:ilvl w:val="0"/>
          <w:numId w:val="15"/>
        </w:numPr>
        <w:ind w:left="1080"/>
      </w:pPr>
      <w:r w:rsidRPr="00965B8F">
        <w:t>Thickness Measurement</w:t>
      </w:r>
      <w:r w:rsidR="00B46103">
        <w:t>:</w:t>
      </w:r>
      <w:r w:rsidR="00213D29">
        <w:t xml:space="preserve"> </w:t>
      </w:r>
      <w:r w:rsidR="00CA3FA1">
        <w:t xml:space="preserve">Mike Coleman (Lead), Carleen Brubaker, Stephen Judge, </w:t>
      </w:r>
      <w:r w:rsidR="00CA3FA1" w:rsidRPr="00CA3FA1">
        <w:t>Charlie Costello</w:t>
      </w:r>
      <w:r w:rsidR="00CA3FA1">
        <w:t>, Nigel Cook</w:t>
      </w:r>
    </w:p>
    <w:p w:rsidR="00CA3A57" w:rsidRDefault="00A370C3" w:rsidP="00434B4D">
      <w:pPr>
        <w:ind w:left="1080"/>
      </w:pPr>
      <w:r>
        <w:t>Nigel reviewed the Thickness Measurement presentation strawman</w:t>
      </w:r>
    </w:p>
    <w:p w:rsidR="006A328F" w:rsidRDefault="00CC25AB" w:rsidP="00434B4D">
      <w:pPr>
        <w:pStyle w:val="ListParagraph"/>
        <w:numPr>
          <w:ilvl w:val="0"/>
          <w:numId w:val="15"/>
        </w:numPr>
        <w:ind w:left="1080"/>
      </w:pPr>
      <w:r w:rsidRPr="00965B8F">
        <w:t>Surface R</w:t>
      </w:r>
      <w:r w:rsidR="006A328F" w:rsidRPr="00965B8F">
        <w:t>oughness</w:t>
      </w:r>
      <w:r w:rsidRPr="00965B8F">
        <w:t xml:space="preserve"> Measurement</w:t>
      </w:r>
      <w:r w:rsidR="00B46103">
        <w:t>:</w:t>
      </w:r>
      <w:r w:rsidR="006A328F">
        <w:t xml:space="preserve"> Karyn Deming (lead)</w:t>
      </w:r>
      <w:r w:rsidR="007A32AC">
        <w:t xml:space="preserve">, Mike </w:t>
      </w:r>
      <w:proofErr w:type="spellStart"/>
      <w:r w:rsidR="007A32AC">
        <w:t>Noettl</w:t>
      </w:r>
      <w:proofErr w:type="spellEnd"/>
      <w:r w:rsidR="007A32AC">
        <w:t>, Kim Porter, Zia Usman</w:t>
      </w:r>
      <w:r w:rsidR="00CA3FA1">
        <w:t>i</w:t>
      </w:r>
      <w:r w:rsidR="007A32AC">
        <w:t>, Mike Stolze</w:t>
      </w:r>
      <w:r w:rsidR="009451C6">
        <w:t xml:space="preserve">, </w:t>
      </w:r>
      <w:r w:rsidR="00E83469">
        <w:t>and Robert</w:t>
      </w:r>
      <w:r w:rsidR="009451C6">
        <w:t xml:space="preserve"> Nixon</w:t>
      </w:r>
      <w:r w:rsidR="007A32AC">
        <w:t>.</w:t>
      </w:r>
    </w:p>
    <w:p w:rsidR="003E7238" w:rsidRDefault="003E7238" w:rsidP="00434B4D">
      <w:pPr>
        <w:ind w:left="1080"/>
      </w:pPr>
      <w:r>
        <w:t>Karyn Deming reviewed the surface roughness presentation outline.</w:t>
      </w:r>
    </w:p>
    <w:p w:rsidR="00BA6594" w:rsidRPr="00BA6594" w:rsidRDefault="00535123" w:rsidP="00BA6594">
      <w:pPr>
        <w:pStyle w:val="ActionItem"/>
      </w:pPr>
      <w:r>
        <w:t>ACTION ITEM</w:t>
      </w:r>
      <w:r w:rsidR="00BA6594">
        <w:t xml:space="preserve">: </w:t>
      </w:r>
      <w:r w:rsidR="00965B8F">
        <w:t>Auditor Conference s</w:t>
      </w:r>
      <w:r w:rsidR="00BA6594">
        <w:t>ub-teams to</w:t>
      </w:r>
      <w:r w:rsidR="00CA3FA1">
        <w:t xml:space="preserve"> bring draft presentations to the June 2016 meeting for review</w:t>
      </w:r>
      <w:r w:rsidR="00BA6594">
        <w:t>. (Due Date: 20-Feb-2016)</w:t>
      </w:r>
    </w:p>
    <w:p w:rsidR="009610A4" w:rsidRDefault="009610A4" w:rsidP="00704A3A">
      <w:pPr>
        <w:pStyle w:val="Heading1"/>
      </w:pPr>
      <w:r w:rsidRPr="009610A4">
        <w:t>cp/</w:t>
      </w:r>
      <w:r w:rsidR="00704A3A" w:rsidRPr="00704A3A">
        <w:t xml:space="preserve"> Non-Destructive</w:t>
      </w:r>
      <w:r w:rsidR="004751F0">
        <w:t xml:space="preserve"> </w:t>
      </w:r>
      <w:r w:rsidR="00704A3A" w:rsidRPr="00704A3A">
        <w:t xml:space="preserve">Testing </w:t>
      </w:r>
      <w:r w:rsidR="00704A3A">
        <w:t>(</w:t>
      </w:r>
      <w:r w:rsidRPr="009610A4">
        <w:t>ndt</w:t>
      </w:r>
      <w:r w:rsidR="00704A3A">
        <w:t>)</w:t>
      </w:r>
      <w:r w:rsidRPr="009610A4">
        <w:t xml:space="preserve"> ac7108/2 proposal – OPEN</w:t>
      </w:r>
    </w:p>
    <w:p w:rsidR="006B65D2" w:rsidRDefault="006B65D2" w:rsidP="006B65D2">
      <w:pPr>
        <w:pStyle w:val="Body"/>
      </w:pPr>
      <w:r>
        <w:t xml:space="preserve">The AC7108/2 and /15 checklists have been approved and </w:t>
      </w:r>
      <w:r w:rsidR="00CA3FA1">
        <w:t>becam</w:t>
      </w:r>
      <w:r w:rsidR="004751F0">
        <w:t>e</w:t>
      </w:r>
      <w:r>
        <w:t xml:space="preserve"> effective on </w:t>
      </w:r>
      <w:r w:rsidR="00354002">
        <w:t>03-Jan-2016</w:t>
      </w:r>
      <w:r>
        <w:t>.</w:t>
      </w:r>
    </w:p>
    <w:p w:rsidR="006B65D2" w:rsidRDefault="006B65D2" w:rsidP="006B65D2">
      <w:pPr>
        <w:pStyle w:val="Body"/>
      </w:pPr>
      <w:r>
        <w:t xml:space="preserve">The </w:t>
      </w:r>
      <w:r w:rsidR="00354002">
        <w:t>Memorandum of Understanding (</w:t>
      </w:r>
      <w:r w:rsidRPr="00BA6594">
        <w:t>MoU</w:t>
      </w:r>
      <w:r w:rsidR="00E83469">
        <w:t>) has</w:t>
      </w:r>
      <w:r w:rsidR="00BA6594">
        <w:t xml:space="preserve"> been</w:t>
      </w:r>
      <w:r>
        <w:t xml:space="preserve"> </w:t>
      </w:r>
      <w:r w:rsidR="00A315CF">
        <w:t xml:space="preserve">added to the </w:t>
      </w:r>
      <w:r w:rsidR="00BA6594">
        <w:t>MoU matrix.</w:t>
      </w:r>
    </w:p>
    <w:p w:rsidR="007251A8" w:rsidRDefault="006B65D2" w:rsidP="00A315CF">
      <w:pPr>
        <w:pStyle w:val="Body"/>
      </w:pPr>
      <w:r>
        <w:lastRenderedPageBreak/>
        <w:t xml:space="preserve">The </w:t>
      </w:r>
      <w:r w:rsidRPr="00965B8F">
        <w:t>training presentation</w:t>
      </w:r>
      <w:r>
        <w:t xml:space="preserve"> for audit report reviewers </w:t>
      </w:r>
      <w:r w:rsidR="00A315CF">
        <w:t>was completed and given to the NDT reviewers on the 12</w:t>
      </w:r>
      <w:r w:rsidR="00A315CF" w:rsidRPr="00A315CF">
        <w:rPr>
          <w:vertAlign w:val="superscript"/>
        </w:rPr>
        <w:t>th</w:t>
      </w:r>
      <w:r w:rsidR="00A315CF">
        <w:t xml:space="preserve"> December</w:t>
      </w:r>
      <w:r>
        <w:t>.</w:t>
      </w:r>
      <w:r w:rsidR="00A315CF">
        <w:t xml:space="preserve"> Based on some of their feedback the presentation was modified (editorial changes, clarification of terms). </w:t>
      </w:r>
    </w:p>
    <w:p w:rsidR="00A315CF" w:rsidRPr="006B65D2" w:rsidRDefault="00A315CF" w:rsidP="00A315CF">
      <w:pPr>
        <w:pStyle w:val="Body"/>
      </w:pPr>
      <w:r>
        <w:t>Work is ongoing switching audits from linked etch audits to ND</w:t>
      </w:r>
      <w:r w:rsidR="004751F0">
        <w:t>T A</w:t>
      </w:r>
      <w:r>
        <w:t>udit</w:t>
      </w:r>
      <w:r w:rsidR="004751F0">
        <w:t>s</w:t>
      </w:r>
      <w:r>
        <w:t xml:space="preserve"> with the relevant etch checklists in the scope. Based on the way audit scheduling works this will probably continue through June 2016.</w:t>
      </w:r>
    </w:p>
    <w:p w:rsidR="00CA1CCD" w:rsidRPr="009610A4" w:rsidRDefault="004922A8" w:rsidP="004922A8">
      <w:pPr>
        <w:pStyle w:val="Heading1"/>
      </w:pPr>
      <w:r w:rsidRPr="004922A8">
        <w:t xml:space="preserve">NMC Metrics &amp; </w:t>
      </w:r>
      <w:r w:rsidRPr="00503128">
        <w:t>Auditor Capacity</w:t>
      </w:r>
      <w:r w:rsidR="00CA1CCD" w:rsidRPr="009610A4">
        <w:t xml:space="preserve"> – open</w:t>
      </w:r>
    </w:p>
    <w:p w:rsidR="00CA1CCD" w:rsidRDefault="00C66162" w:rsidP="004922A8">
      <w:pPr>
        <w:ind w:left="709"/>
      </w:pPr>
      <w:r>
        <w:t>Nigel Cook</w:t>
      </w:r>
      <w:r w:rsidR="00503128">
        <w:t xml:space="preserve"> review</w:t>
      </w:r>
      <w:r w:rsidR="00224118">
        <w:t>ed</w:t>
      </w:r>
      <w:r w:rsidR="00503128">
        <w:t xml:space="preserve"> the </w:t>
      </w:r>
      <w:r w:rsidR="00503128" w:rsidRPr="00965B8F">
        <w:t>auditor capacity graph</w:t>
      </w:r>
      <w:r w:rsidR="00503128">
        <w:t xml:space="preserve"> and NMC Metrics.</w:t>
      </w:r>
      <w:r w:rsidR="00224118">
        <w:t xml:space="preserve"> All were green except Supplier Merit</w:t>
      </w:r>
      <w:r w:rsidR="00965B8F">
        <w:t>, Task Group Cycle Time</w:t>
      </w:r>
      <w:r w:rsidR="00224118">
        <w:t xml:space="preserve"> </w:t>
      </w:r>
      <w:r w:rsidR="00A04D97">
        <w:t xml:space="preserve">and Auditor Capacity </w:t>
      </w:r>
      <w:r w:rsidR="00224118">
        <w:t>which w</w:t>
      </w:r>
      <w:r w:rsidR="00A04D97">
        <w:t>ere</w:t>
      </w:r>
      <w:r w:rsidR="00224118">
        <w:t xml:space="preserve"> yellow.</w:t>
      </w:r>
    </w:p>
    <w:p w:rsidR="00965B8F" w:rsidRPr="009610A4" w:rsidRDefault="00965B8F" w:rsidP="004922A8">
      <w:pPr>
        <w:ind w:left="709"/>
      </w:pPr>
      <w:r>
        <w:t>The increase in Task Group Cycle Time is due to having 3 new audit report reviewers who are not yet delegated.</w:t>
      </w:r>
    </w:p>
    <w:p w:rsidR="009610A4" w:rsidRPr="002B3C14" w:rsidRDefault="00A315CF" w:rsidP="004922A8">
      <w:pPr>
        <w:pStyle w:val="Heading1"/>
      </w:pPr>
      <w:r w:rsidRPr="002B3C14">
        <w:t>AC7108 Rev I</w:t>
      </w:r>
      <w:r w:rsidR="009610A4" w:rsidRPr="002B3C14">
        <w:t xml:space="preserve"> – OPEN</w:t>
      </w:r>
    </w:p>
    <w:p w:rsidR="007D5E18" w:rsidRDefault="00A315CF" w:rsidP="004922A8">
      <w:pPr>
        <w:pStyle w:val="Body"/>
      </w:pPr>
      <w:r>
        <w:t xml:space="preserve">Nigel Cook reviewed a draft proposal of </w:t>
      </w:r>
      <w:r w:rsidRPr="002B3C14">
        <w:t>AC7108 Rev I</w:t>
      </w:r>
      <w:r>
        <w:t>. (need to consider AC7108/2, /4 and /15)</w:t>
      </w:r>
      <w:r w:rsidR="002B3C14">
        <w:t>. There were some concerns about the dual use of cleanliness verification and the use of the term “defined process” (similar to process control document) by the cleanliness verification sub-team.</w:t>
      </w:r>
    </w:p>
    <w:p w:rsidR="002B3C14" w:rsidRDefault="00535123" w:rsidP="002B3C14">
      <w:pPr>
        <w:pStyle w:val="ActionItem"/>
      </w:pPr>
      <w:r>
        <w:t>ACTION ITEM</w:t>
      </w:r>
      <w:r w:rsidR="002B3C14">
        <w:t xml:space="preserve">: Cleanliness verification sub-tem to review their previous recommendations due to concerns on the </w:t>
      </w:r>
      <w:r w:rsidR="002B3C14" w:rsidRPr="002B3C14">
        <w:t xml:space="preserve">dual use of </w:t>
      </w:r>
      <w:r w:rsidR="002B3C14">
        <w:t>“</w:t>
      </w:r>
      <w:r w:rsidR="002B3C14" w:rsidRPr="002B3C14">
        <w:t>cleanliness verification</w:t>
      </w:r>
      <w:r w:rsidR="002B3C14">
        <w:t>”</w:t>
      </w:r>
      <w:r w:rsidR="002B3C14" w:rsidRPr="002B3C14">
        <w:t xml:space="preserve"> and the use of the term “defined process” (similar to </w:t>
      </w:r>
      <w:r w:rsidR="00191DD4">
        <w:t>“</w:t>
      </w:r>
      <w:r w:rsidR="002B3C14" w:rsidRPr="002B3C14">
        <w:t>process control document</w:t>
      </w:r>
      <w:r w:rsidR="00191DD4">
        <w:t>”</w:t>
      </w:r>
      <w:r w:rsidR="002B3C14" w:rsidRPr="002B3C14">
        <w:t>)</w:t>
      </w:r>
      <w:r w:rsidR="002B3C14">
        <w:t>. (Due Date: 20-Jun-2016)</w:t>
      </w:r>
    </w:p>
    <w:p w:rsidR="003F0198" w:rsidRDefault="00535123" w:rsidP="003F0198">
      <w:pPr>
        <w:pStyle w:val="ActionItem"/>
      </w:pPr>
      <w:r>
        <w:t>ACTION ITEM</w:t>
      </w:r>
      <w:r w:rsidR="003F0198">
        <w:t xml:space="preserve">: Nigel Cook to </w:t>
      </w:r>
      <w:r w:rsidR="002B3C14">
        <w:t xml:space="preserve">update </w:t>
      </w:r>
      <w:r w:rsidR="003F0198">
        <w:t xml:space="preserve">AC7108 and </w:t>
      </w:r>
      <w:r w:rsidR="002B3C14">
        <w:t>relevant slash sheets for items that have been kept on hold due to checklist strategy for review at the June meeting</w:t>
      </w:r>
      <w:r w:rsidR="003F0198">
        <w:t>. (Due Date: 20-</w:t>
      </w:r>
      <w:r w:rsidR="002B3C14">
        <w:t>Jun</w:t>
      </w:r>
      <w:r w:rsidR="003F0198">
        <w:t>-2016)</w:t>
      </w:r>
    </w:p>
    <w:p w:rsidR="009610A4" w:rsidRDefault="004922A8" w:rsidP="004922A8">
      <w:pPr>
        <w:pStyle w:val="Heading1"/>
      </w:pPr>
      <w:r w:rsidRPr="00161D4F">
        <w:t>Subcontract Pyrometry</w:t>
      </w:r>
      <w:r w:rsidR="009610A4" w:rsidRPr="009610A4">
        <w:t xml:space="preserve"> – OPEN</w:t>
      </w:r>
    </w:p>
    <w:p w:rsidR="006D5DF9" w:rsidRPr="006D5DF9" w:rsidRDefault="006D5DF9" w:rsidP="006D5DF9">
      <w:pPr>
        <w:pStyle w:val="Body"/>
      </w:pPr>
      <w:r>
        <w:t xml:space="preserve">Tammi Schubert gave a presentation on the NMC sub-team activity for subcontract </w:t>
      </w:r>
      <w:proofErr w:type="spellStart"/>
      <w:r>
        <w:t>pyrometry</w:t>
      </w:r>
      <w:proofErr w:type="spellEnd"/>
      <w:r>
        <w:t>.</w:t>
      </w:r>
      <w:r w:rsidR="004A1ACF">
        <w:t xml:space="preserve"> </w:t>
      </w:r>
      <w:r w:rsidR="00161D4F">
        <w:t xml:space="preserve">The sub-team recommended that a sub-contract </w:t>
      </w:r>
      <w:proofErr w:type="spellStart"/>
      <w:r w:rsidR="00161D4F">
        <w:t>pyrometry</w:t>
      </w:r>
      <w:proofErr w:type="spellEnd"/>
      <w:r w:rsidR="00161D4F">
        <w:t xml:space="preserve"> accreditation process not be pursued.</w:t>
      </w:r>
    </w:p>
    <w:p w:rsidR="00F1492C" w:rsidRDefault="006D5DF9" w:rsidP="00F1492C">
      <w:pPr>
        <w:pStyle w:val="Heading1"/>
      </w:pPr>
      <w:r w:rsidRPr="00161D4F">
        <w:t>auditor consistency</w:t>
      </w:r>
    </w:p>
    <w:p w:rsidR="006D5DF9" w:rsidRDefault="006D5DF9" w:rsidP="006D5DF9">
      <w:pPr>
        <w:pStyle w:val="Body"/>
      </w:pPr>
      <w:r>
        <w:t xml:space="preserve">Mike Stolze gave a presentation on auditor consistency. </w:t>
      </w:r>
      <w:r w:rsidR="003F0198">
        <w:t>The Task Group was green for all dashboard metrics.</w:t>
      </w:r>
    </w:p>
    <w:p w:rsidR="00161D4F" w:rsidRPr="006D5DF9" w:rsidRDefault="00161D4F" w:rsidP="006D5DF9">
      <w:pPr>
        <w:pStyle w:val="Body"/>
      </w:pPr>
      <w:r>
        <w:t>See item 4.0</w:t>
      </w:r>
    </w:p>
    <w:p w:rsidR="00F1492C" w:rsidRPr="009610A4" w:rsidRDefault="00A315CF" w:rsidP="00F1492C">
      <w:pPr>
        <w:pStyle w:val="Heading1"/>
      </w:pPr>
      <w:r w:rsidRPr="00161D4F">
        <w:t>OP 1110 Mode B FAILURE CRITERIA</w:t>
      </w:r>
      <w:r w:rsidR="00F1492C" w:rsidRPr="009610A4">
        <w:t xml:space="preserve"> – OPEN</w:t>
      </w:r>
    </w:p>
    <w:p w:rsidR="006D5DF9" w:rsidRDefault="00A315CF" w:rsidP="006C7AAB">
      <w:pPr>
        <w:ind w:left="720"/>
      </w:pPr>
      <w:r>
        <w:t xml:space="preserve">Nigel Cook reviewed the failure data and </w:t>
      </w:r>
      <w:r w:rsidR="00BD2E44">
        <w:t>the population curve</w:t>
      </w:r>
      <w:r w:rsidR="00161D4F">
        <w:t xml:space="preserve"> for initial and re-accreditation audits. OP 1110 recommends that the criteria are selected based on the 95-98th percentile of NCRs per audit day. </w:t>
      </w:r>
    </w:p>
    <w:p w:rsidR="00C166DF" w:rsidRPr="00C166DF" w:rsidRDefault="00C166DF" w:rsidP="006C7AAB">
      <w:pPr>
        <w:ind w:left="720"/>
        <w:rPr>
          <w:b/>
        </w:rPr>
      </w:pPr>
      <w:r w:rsidRPr="00C166DF">
        <w:rPr>
          <w:b/>
        </w:rPr>
        <w:t>Initial Audits:</w:t>
      </w:r>
    </w:p>
    <w:p w:rsidR="00941507" w:rsidRPr="009120A2" w:rsidRDefault="009120A2" w:rsidP="00941507">
      <w:pPr>
        <w:spacing w:after="0"/>
        <w:ind w:left="720"/>
      </w:pPr>
      <w:r w:rsidRPr="009120A2">
        <w:t xml:space="preserve">NCRs per audit </w:t>
      </w:r>
      <w:r>
        <w:t>day based on analysis of audits conducted in 2015:</w:t>
      </w: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705"/>
        <w:gridCol w:w="2551"/>
      </w:tblGrid>
      <w:tr w:rsidR="00941507" w:rsidRPr="00941507" w:rsidTr="00161D4F">
        <w:trPr>
          <w:trHeight w:val="255"/>
        </w:trPr>
        <w:tc>
          <w:tcPr>
            <w:tcW w:w="2637" w:type="dxa"/>
            <w:shd w:val="clear" w:color="auto" w:fill="auto"/>
            <w:noWrap/>
            <w:vAlign w:val="bottom"/>
          </w:tcPr>
          <w:p w:rsidR="00941507" w:rsidRPr="00941507" w:rsidRDefault="00941507" w:rsidP="00941507">
            <w:pPr>
              <w:spacing w:after="0"/>
              <w:rPr>
                <w:rFonts w:eastAsia="Times New Roman" w:cs="Arial"/>
                <w:szCs w:val="20"/>
                <w:lang w:val="en-GB" w:eastAsia="en-GB"/>
              </w:rPr>
            </w:pPr>
          </w:p>
        </w:tc>
        <w:tc>
          <w:tcPr>
            <w:tcW w:w="2705" w:type="dxa"/>
            <w:shd w:val="clear" w:color="auto" w:fill="auto"/>
            <w:noWrap/>
            <w:vAlign w:val="bottom"/>
          </w:tcPr>
          <w:p w:rsidR="00941507" w:rsidRPr="00941507" w:rsidRDefault="00941507" w:rsidP="00941507">
            <w:pPr>
              <w:spacing w:after="0"/>
              <w:jc w:val="center"/>
              <w:rPr>
                <w:rFonts w:eastAsia="Times New Roman" w:cs="Arial"/>
                <w:szCs w:val="20"/>
                <w:lang w:val="en-GB" w:eastAsia="en-GB"/>
              </w:rPr>
            </w:pPr>
            <w:r>
              <w:rPr>
                <w:rFonts w:eastAsia="Times New Roman" w:cs="Arial"/>
                <w:szCs w:val="20"/>
                <w:lang w:val="en-GB" w:eastAsia="en-GB"/>
              </w:rPr>
              <w:t>Major NCRs per Audit Day</w:t>
            </w:r>
          </w:p>
        </w:tc>
        <w:tc>
          <w:tcPr>
            <w:tcW w:w="2551" w:type="dxa"/>
            <w:shd w:val="clear" w:color="auto" w:fill="auto"/>
            <w:noWrap/>
            <w:vAlign w:val="bottom"/>
          </w:tcPr>
          <w:p w:rsidR="00941507" w:rsidRPr="00941507" w:rsidRDefault="00941507" w:rsidP="00941507">
            <w:pPr>
              <w:spacing w:after="0"/>
              <w:jc w:val="center"/>
              <w:rPr>
                <w:rFonts w:eastAsia="Times New Roman" w:cs="Arial"/>
                <w:szCs w:val="20"/>
                <w:lang w:val="en-GB" w:eastAsia="en-GB"/>
              </w:rPr>
            </w:pPr>
            <w:r>
              <w:rPr>
                <w:rFonts w:eastAsia="Times New Roman" w:cs="Arial"/>
                <w:szCs w:val="20"/>
                <w:lang w:val="en-GB" w:eastAsia="en-GB"/>
              </w:rPr>
              <w:t>Total NCRs per Audit Day</w:t>
            </w:r>
          </w:p>
        </w:tc>
      </w:tr>
      <w:tr w:rsidR="00941507" w:rsidRPr="00941507" w:rsidTr="00161D4F">
        <w:trPr>
          <w:trHeight w:val="255"/>
        </w:trPr>
        <w:tc>
          <w:tcPr>
            <w:tcW w:w="2637" w:type="dxa"/>
            <w:shd w:val="clear" w:color="auto" w:fill="auto"/>
            <w:noWrap/>
            <w:vAlign w:val="bottom"/>
            <w:hideMark/>
          </w:tcPr>
          <w:p w:rsidR="00941507" w:rsidRPr="00941507" w:rsidRDefault="00941507" w:rsidP="00941507">
            <w:pPr>
              <w:spacing w:after="0"/>
              <w:rPr>
                <w:rFonts w:eastAsia="Times New Roman" w:cs="Arial"/>
                <w:szCs w:val="20"/>
                <w:lang w:val="en-GB" w:eastAsia="en-GB"/>
              </w:rPr>
            </w:pPr>
            <w:r w:rsidRPr="00941507">
              <w:rPr>
                <w:rFonts w:eastAsia="Times New Roman" w:cs="Arial"/>
                <w:szCs w:val="20"/>
                <w:lang w:val="en-GB" w:eastAsia="en-GB"/>
              </w:rPr>
              <w:t>95th Percentile</w:t>
            </w:r>
          </w:p>
        </w:tc>
        <w:tc>
          <w:tcPr>
            <w:tcW w:w="2705" w:type="dxa"/>
            <w:shd w:val="clear" w:color="auto" w:fill="auto"/>
            <w:noWrap/>
            <w:vAlign w:val="bottom"/>
            <w:hideMark/>
          </w:tcPr>
          <w:p w:rsidR="00941507" w:rsidRPr="00941507" w:rsidRDefault="00941507" w:rsidP="00941507">
            <w:pPr>
              <w:spacing w:after="0"/>
              <w:jc w:val="center"/>
              <w:rPr>
                <w:rFonts w:eastAsia="Times New Roman" w:cs="Arial"/>
                <w:szCs w:val="20"/>
                <w:lang w:val="en-GB" w:eastAsia="en-GB"/>
              </w:rPr>
            </w:pPr>
            <w:r w:rsidRPr="00941507">
              <w:rPr>
                <w:rFonts w:eastAsia="Times New Roman" w:cs="Arial"/>
                <w:szCs w:val="20"/>
                <w:lang w:val="en-GB" w:eastAsia="en-GB"/>
              </w:rPr>
              <w:t>1.2</w:t>
            </w:r>
          </w:p>
        </w:tc>
        <w:tc>
          <w:tcPr>
            <w:tcW w:w="2551" w:type="dxa"/>
            <w:shd w:val="clear" w:color="auto" w:fill="auto"/>
            <w:noWrap/>
            <w:vAlign w:val="bottom"/>
            <w:hideMark/>
          </w:tcPr>
          <w:p w:rsidR="00941507" w:rsidRPr="00941507" w:rsidRDefault="00941507" w:rsidP="00941507">
            <w:pPr>
              <w:spacing w:after="0"/>
              <w:jc w:val="center"/>
              <w:rPr>
                <w:rFonts w:eastAsia="Times New Roman" w:cs="Arial"/>
                <w:szCs w:val="20"/>
                <w:lang w:val="en-GB" w:eastAsia="en-GB"/>
              </w:rPr>
            </w:pPr>
            <w:r w:rsidRPr="00941507">
              <w:rPr>
                <w:rFonts w:eastAsia="Times New Roman" w:cs="Arial"/>
                <w:szCs w:val="20"/>
                <w:lang w:val="en-GB" w:eastAsia="en-GB"/>
              </w:rPr>
              <w:t>4.3</w:t>
            </w:r>
          </w:p>
        </w:tc>
      </w:tr>
      <w:tr w:rsidR="00941507" w:rsidRPr="00941507" w:rsidTr="00161D4F">
        <w:trPr>
          <w:trHeight w:val="255"/>
        </w:trPr>
        <w:tc>
          <w:tcPr>
            <w:tcW w:w="2637" w:type="dxa"/>
            <w:shd w:val="clear" w:color="auto" w:fill="auto"/>
            <w:noWrap/>
            <w:vAlign w:val="bottom"/>
            <w:hideMark/>
          </w:tcPr>
          <w:p w:rsidR="00941507" w:rsidRPr="00941507" w:rsidRDefault="00941507" w:rsidP="00941507">
            <w:pPr>
              <w:spacing w:after="0"/>
              <w:rPr>
                <w:rFonts w:eastAsia="Times New Roman" w:cs="Arial"/>
                <w:szCs w:val="20"/>
                <w:lang w:val="en-GB" w:eastAsia="en-GB"/>
              </w:rPr>
            </w:pPr>
            <w:r w:rsidRPr="00941507">
              <w:rPr>
                <w:rFonts w:eastAsia="Times New Roman" w:cs="Arial"/>
                <w:szCs w:val="20"/>
                <w:lang w:val="en-GB" w:eastAsia="en-GB"/>
              </w:rPr>
              <w:t>98th Percentile</w:t>
            </w:r>
          </w:p>
        </w:tc>
        <w:tc>
          <w:tcPr>
            <w:tcW w:w="2705" w:type="dxa"/>
            <w:shd w:val="clear" w:color="auto" w:fill="auto"/>
            <w:noWrap/>
            <w:vAlign w:val="bottom"/>
            <w:hideMark/>
          </w:tcPr>
          <w:p w:rsidR="00941507" w:rsidRPr="00941507" w:rsidRDefault="00941507" w:rsidP="00941507">
            <w:pPr>
              <w:spacing w:after="0"/>
              <w:jc w:val="center"/>
              <w:rPr>
                <w:rFonts w:eastAsia="Times New Roman" w:cs="Arial"/>
                <w:szCs w:val="20"/>
                <w:lang w:val="en-GB" w:eastAsia="en-GB"/>
              </w:rPr>
            </w:pPr>
            <w:r w:rsidRPr="00941507">
              <w:rPr>
                <w:rFonts w:eastAsia="Times New Roman" w:cs="Arial"/>
                <w:szCs w:val="20"/>
                <w:lang w:val="en-GB" w:eastAsia="en-GB"/>
              </w:rPr>
              <w:t>1.9</w:t>
            </w:r>
          </w:p>
        </w:tc>
        <w:tc>
          <w:tcPr>
            <w:tcW w:w="2551" w:type="dxa"/>
            <w:shd w:val="clear" w:color="auto" w:fill="auto"/>
            <w:noWrap/>
            <w:vAlign w:val="bottom"/>
            <w:hideMark/>
          </w:tcPr>
          <w:p w:rsidR="00941507" w:rsidRPr="00941507" w:rsidRDefault="00941507" w:rsidP="00941507">
            <w:pPr>
              <w:spacing w:after="0"/>
              <w:jc w:val="center"/>
              <w:rPr>
                <w:rFonts w:eastAsia="Times New Roman" w:cs="Arial"/>
                <w:szCs w:val="20"/>
                <w:lang w:val="en-GB" w:eastAsia="en-GB"/>
              </w:rPr>
            </w:pPr>
            <w:r w:rsidRPr="00941507">
              <w:rPr>
                <w:rFonts w:eastAsia="Times New Roman" w:cs="Arial"/>
                <w:szCs w:val="20"/>
                <w:lang w:val="en-GB" w:eastAsia="en-GB"/>
              </w:rPr>
              <w:t>4.7</w:t>
            </w:r>
          </w:p>
        </w:tc>
      </w:tr>
    </w:tbl>
    <w:p w:rsidR="00941507" w:rsidRDefault="00941507" w:rsidP="00941507">
      <w:pPr>
        <w:spacing w:after="0"/>
        <w:ind w:left="720"/>
      </w:pPr>
    </w:p>
    <w:p w:rsidR="00941507" w:rsidRPr="004B4926" w:rsidRDefault="009120A2" w:rsidP="00941507">
      <w:pPr>
        <w:ind w:left="720"/>
        <w:contextualSpacing/>
      </w:pPr>
      <w:r w:rsidRPr="004B4926">
        <w:t>Comparison of previous failure criteria to 95</w:t>
      </w:r>
      <w:r w:rsidRPr="004B4926">
        <w:rPr>
          <w:vertAlign w:val="superscript"/>
        </w:rPr>
        <w:t>th</w:t>
      </w:r>
      <w:r w:rsidRPr="004B4926">
        <w:t xml:space="preserve"> and 98</w:t>
      </w:r>
      <w:r w:rsidRPr="004B4926">
        <w:rPr>
          <w:vertAlign w:val="superscript"/>
        </w:rPr>
        <w:t>th</w:t>
      </w:r>
      <w:r w:rsidRPr="004B4926">
        <w:t xml:space="preserve"> percentiles</w:t>
      </w:r>
    </w:p>
    <w:tbl>
      <w:tblPr>
        <w:tblStyle w:val="TableGrid"/>
        <w:tblW w:w="0" w:type="auto"/>
        <w:tblInd w:w="720" w:type="dxa"/>
        <w:tblLook w:val="04A0" w:firstRow="1" w:lastRow="0" w:firstColumn="1" w:lastColumn="0" w:noHBand="0" w:noVBand="1"/>
      </w:tblPr>
      <w:tblGrid>
        <w:gridCol w:w="1662"/>
        <w:gridCol w:w="795"/>
        <w:gridCol w:w="795"/>
        <w:gridCol w:w="1017"/>
        <w:gridCol w:w="1017"/>
        <w:gridCol w:w="1017"/>
        <w:gridCol w:w="1017"/>
      </w:tblGrid>
      <w:tr w:rsidR="00941507" w:rsidRPr="009610A4" w:rsidTr="00C8580F">
        <w:tc>
          <w:tcPr>
            <w:tcW w:w="0" w:type="auto"/>
            <w:tcBorders>
              <w:bottom w:val="single" w:sz="4" w:space="0" w:color="auto"/>
            </w:tcBorders>
            <w:shd w:val="pct25" w:color="auto" w:fill="auto"/>
          </w:tcPr>
          <w:p w:rsidR="00941507" w:rsidRPr="00C870E2" w:rsidRDefault="00941507" w:rsidP="00C8580F">
            <w:pPr>
              <w:contextualSpacing/>
              <w:rPr>
                <w:b/>
              </w:rPr>
            </w:pPr>
            <w:r w:rsidRPr="00C870E2">
              <w:rPr>
                <w:b/>
              </w:rPr>
              <w:t>Days</w:t>
            </w:r>
          </w:p>
        </w:tc>
        <w:tc>
          <w:tcPr>
            <w:tcW w:w="0" w:type="auto"/>
            <w:tcBorders>
              <w:bottom w:val="single" w:sz="4" w:space="0" w:color="auto"/>
            </w:tcBorders>
            <w:shd w:val="pct25" w:color="auto" w:fill="auto"/>
          </w:tcPr>
          <w:p w:rsidR="00941507" w:rsidRPr="00C870E2" w:rsidRDefault="00941507" w:rsidP="00C8580F">
            <w:pPr>
              <w:contextualSpacing/>
              <w:jc w:val="center"/>
              <w:rPr>
                <w:b/>
              </w:rPr>
            </w:pPr>
            <w:r w:rsidRPr="00C870E2">
              <w:rPr>
                <w:b/>
              </w:rPr>
              <w:t>1</w:t>
            </w:r>
          </w:p>
        </w:tc>
        <w:tc>
          <w:tcPr>
            <w:tcW w:w="0" w:type="auto"/>
            <w:tcBorders>
              <w:bottom w:val="single" w:sz="4" w:space="0" w:color="auto"/>
            </w:tcBorders>
            <w:shd w:val="pct25" w:color="auto" w:fill="auto"/>
          </w:tcPr>
          <w:p w:rsidR="00941507" w:rsidRPr="00C870E2" w:rsidRDefault="00941507" w:rsidP="00C8580F">
            <w:pPr>
              <w:contextualSpacing/>
              <w:jc w:val="center"/>
              <w:rPr>
                <w:b/>
              </w:rPr>
            </w:pPr>
            <w:r w:rsidRPr="00C870E2">
              <w:rPr>
                <w:b/>
              </w:rPr>
              <w:t>2</w:t>
            </w:r>
          </w:p>
        </w:tc>
        <w:tc>
          <w:tcPr>
            <w:tcW w:w="0" w:type="auto"/>
            <w:tcBorders>
              <w:bottom w:val="single" w:sz="4" w:space="0" w:color="auto"/>
            </w:tcBorders>
            <w:shd w:val="pct25" w:color="auto" w:fill="auto"/>
          </w:tcPr>
          <w:p w:rsidR="00941507" w:rsidRPr="00C870E2" w:rsidRDefault="00941507" w:rsidP="00C8580F">
            <w:pPr>
              <w:contextualSpacing/>
              <w:jc w:val="center"/>
              <w:rPr>
                <w:b/>
              </w:rPr>
            </w:pPr>
            <w:r w:rsidRPr="00C870E2">
              <w:rPr>
                <w:b/>
              </w:rPr>
              <w:t>3</w:t>
            </w:r>
          </w:p>
        </w:tc>
        <w:tc>
          <w:tcPr>
            <w:tcW w:w="0" w:type="auto"/>
            <w:tcBorders>
              <w:bottom w:val="single" w:sz="4" w:space="0" w:color="auto"/>
            </w:tcBorders>
            <w:shd w:val="pct25" w:color="auto" w:fill="auto"/>
          </w:tcPr>
          <w:p w:rsidR="00941507" w:rsidRPr="00C870E2" w:rsidRDefault="00941507" w:rsidP="00C8580F">
            <w:pPr>
              <w:contextualSpacing/>
              <w:jc w:val="center"/>
              <w:rPr>
                <w:b/>
              </w:rPr>
            </w:pPr>
            <w:r w:rsidRPr="00C870E2">
              <w:rPr>
                <w:b/>
              </w:rPr>
              <w:t>4</w:t>
            </w:r>
          </w:p>
        </w:tc>
        <w:tc>
          <w:tcPr>
            <w:tcW w:w="0" w:type="auto"/>
            <w:tcBorders>
              <w:bottom w:val="single" w:sz="4" w:space="0" w:color="auto"/>
            </w:tcBorders>
            <w:shd w:val="pct25" w:color="auto" w:fill="auto"/>
          </w:tcPr>
          <w:p w:rsidR="00941507" w:rsidRPr="00C870E2" w:rsidRDefault="00941507" w:rsidP="00C8580F">
            <w:pPr>
              <w:contextualSpacing/>
              <w:jc w:val="center"/>
              <w:rPr>
                <w:b/>
              </w:rPr>
            </w:pPr>
            <w:r w:rsidRPr="00C870E2">
              <w:rPr>
                <w:b/>
              </w:rPr>
              <w:t>5</w:t>
            </w:r>
          </w:p>
        </w:tc>
        <w:tc>
          <w:tcPr>
            <w:tcW w:w="0" w:type="auto"/>
            <w:tcBorders>
              <w:bottom w:val="single" w:sz="4" w:space="0" w:color="auto"/>
            </w:tcBorders>
            <w:shd w:val="pct25" w:color="auto" w:fill="auto"/>
          </w:tcPr>
          <w:p w:rsidR="00941507" w:rsidRPr="00C870E2" w:rsidRDefault="00941507" w:rsidP="00C8580F">
            <w:pPr>
              <w:contextualSpacing/>
              <w:jc w:val="center"/>
              <w:rPr>
                <w:b/>
              </w:rPr>
            </w:pPr>
            <w:r w:rsidRPr="00C870E2">
              <w:rPr>
                <w:b/>
              </w:rPr>
              <w:t>6</w:t>
            </w:r>
          </w:p>
        </w:tc>
      </w:tr>
      <w:tr w:rsidR="00C870E2" w:rsidRPr="009610A4" w:rsidTr="00C8580F">
        <w:tc>
          <w:tcPr>
            <w:tcW w:w="0" w:type="auto"/>
            <w:shd w:val="pct25" w:color="auto" w:fill="auto"/>
          </w:tcPr>
          <w:p w:rsidR="00C870E2" w:rsidRPr="00C870E2" w:rsidRDefault="00C870E2" w:rsidP="00C8580F">
            <w:pPr>
              <w:contextualSpacing/>
              <w:rPr>
                <w:b/>
              </w:rPr>
            </w:pPr>
            <w:r>
              <w:rPr>
                <w:b/>
              </w:rPr>
              <w:t>Major 2015</w:t>
            </w:r>
            <w:r w:rsidR="00C8580F">
              <w:rPr>
                <w:b/>
              </w:rPr>
              <w:t xml:space="preserve"> (98)</w:t>
            </w:r>
          </w:p>
        </w:tc>
        <w:tc>
          <w:tcPr>
            <w:tcW w:w="0" w:type="auto"/>
            <w:shd w:val="clear" w:color="auto" w:fill="E5B8B7" w:themeFill="accent2" w:themeFillTint="66"/>
          </w:tcPr>
          <w:p w:rsidR="00C870E2" w:rsidRPr="009120A2" w:rsidRDefault="00C870E2" w:rsidP="00C8580F">
            <w:pPr>
              <w:contextualSpacing/>
              <w:jc w:val="center"/>
            </w:pPr>
            <w:r w:rsidRPr="009120A2">
              <w:t>2</w:t>
            </w:r>
          </w:p>
        </w:tc>
        <w:tc>
          <w:tcPr>
            <w:tcW w:w="0" w:type="auto"/>
            <w:shd w:val="clear" w:color="auto" w:fill="E5B8B7" w:themeFill="accent2" w:themeFillTint="66"/>
          </w:tcPr>
          <w:p w:rsidR="00C870E2" w:rsidRPr="009120A2" w:rsidRDefault="00C870E2" w:rsidP="00C8580F">
            <w:pPr>
              <w:contextualSpacing/>
              <w:jc w:val="center"/>
            </w:pPr>
            <w:r w:rsidRPr="009120A2">
              <w:t>3</w:t>
            </w:r>
          </w:p>
        </w:tc>
        <w:tc>
          <w:tcPr>
            <w:tcW w:w="0" w:type="auto"/>
            <w:shd w:val="clear" w:color="auto" w:fill="E5B8B7" w:themeFill="accent2" w:themeFillTint="66"/>
          </w:tcPr>
          <w:p w:rsidR="00C870E2" w:rsidRPr="009120A2" w:rsidRDefault="00C870E2" w:rsidP="00C8580F">
            <w:pPr>
              <w:contextualSpacing/>
              <w:jc w:val="center"/>
            </w:pPr>
            <w:r w:rsidRPr="009120A2">
              <w:t>5</w:t>
            </w:r>
          </w:p>
        </w:tc>
        <w:tc>
          <w:tcPr>
            <w:tcW w:w="0" w:type="auto"/>
            <w:shd w:val="clear" w:color="auto" w:fill="E5B8B7" w:themeFill="accent2" w:themeFillTint="66"/>
          </w:tcPr>
          <w:p w:rsidR="00C870E2" w:rsidRPr="009120A2" w:rsidRDefault="00C870E2" w:rsidP="00C8580F">
            <w:pPr>
              <w:contextualSpacing/>
              <w:jc w:val="center"/>
            </w:pPr>
            <w:r w:rsidRPr="009120A2">
              <w:t>6</w:t>
            </w:r>
          </w:p>
        </w:tc>
        <w:tc>
          <w:tcPr>
            <w:tcW w:w="0" w:type="auto"/>
            <w:shd w:val="clear" w:color="auto" w:fill="E5B8B7" w:themeFill="accent2" w:themeFillTint="66"/>
          </w:tcPr>
          <w:p w:rsidR="00C870E2" w:rsidRPr="009120A2" w:rsidRDefault="00C870E2" w:rsidP="00C8580F">
            <w:pPr>
              <w:contextualSpacing/>
              <w:jc w:val="center"/>
            </w:pPr>
            <w:r w:rsidRPr="009120A2">
              <w:t>6</w:t>
            </w:r>
          </w:p>
        </w:tc>
        <w:tc>
          <w:tcPr>
            <w:tcW w:w="0" w:type="auto"/>
            <w:shd w:val="clear" w:color="auto" w:fill="E5B8B7" w:themeFill="accent2" w:themeFillTint="66"/>
          </w:tcPr>
          <w:p w:rsidR="00C870E2" w:rsidRPr="009120A2" w:rsidRDefault="00C870E2" w:rsidP="00C8580F">
            <w:pPr>
              <w:contextualSpacing/>
              <w:jc w:val="center"/>
            </w:pPr>
            <w:r w:rsidRPr="009120A2">
              <w:t>6</w:t>
            </w:r>
          </w:p>
        </w:tc>
      </w:tr>
      <w:tr w:rsidR="00C870E2" w:rsidRPr="009610A4" w:rsidTr="00C8580F">
        <w:tc>
          <w:tcPr>
            <w:tcW w:w="0" w:type="auto"/>
            <w:shd w:val="pct25" w:color="auto" w:fill="auto"/>
          </w:tcPr>
          <w:p w:rsidR="00C870E2" w:rsidRPr="00C870E2" w:rsidRDefault="00C870E2" w:rsidP="00C8580F">
            <w:pPr>
              <w:contextualSpacing/>
              <w:rPr>
                <w:b/>
              </w:rPr>
            </w:pPr>
            <w:r>
              <w:rPr>
                <w:b/>
              </w:rPr>
              <w:t>Major 95th</w:t>
            </w:r>
          </w:p>
        </w:tc>
        <w:tc>
          <w:tcPr>
            <w:tcW w:w="0" w:type="auto"/>
            <w:shd w:val="clear" w:color="auto" w:fill="E5B8B7" w:themeFill="accent2" w:themeFillTint="66"/>
          </w:tcPr>
          <w:p w:rsidR="00C870E2" w:rsidRPr="009120A2" w:rsidRDefault="00C870E2" w:rsidP="00C8580F">
            <w:pPr>
              <w:contextualSpacing/>
              <w:jc w:val="center"/>
            </w:pPr>
            <w:r w:rsidRPr="009120A2">
              <w:t>1.2 (1)</w:t>
            </w:r>
          </w:p>
        </w:tc>
        <w:tc>
          <w:tcPr>
            <w:tcW w:w="0" w:type="auto"/>
            <w:shd w:val="clear" w:color="auto" w:fill="E5B8B7" w:themeFill="accent2" w:themeFillTint="66"/>
          </w:tcPr>
          <w:p w:rsidR="00C870E2" w:rsidRPr="009120A2" w:rsidRDefault="00C870E2" w:rsidP="00C8580F">
            <w:pPr>
              <w:contextualSpacing/>
              <w:jc w:val="center"/>
            </w:pPr>
            <w:r w:rsidRPr="009120A2">
              <w:t>2.4 (2)</w:t>
            </w:r>
          </w:p>
        </w:tc>
        <w:tc>
          <w:tcPr>
            <w:tcW w:w="0" w:type="auto"/>
            <w:shd w:val="clear" w:color="auto" w:fill="E5B8B7" w:themeFill="accent2" w:themeFillTint="66"/>
          </w:tcPr>
          <w:p w:rsidR="00C870E2" w:rsidRPr="009120A2" w:rsidRDefault="00C870E2" w:rsidP="00C8580F">
            <w:pPr>
              <w:contextualSpacing/>
              <w:jc w:val="center"/>
            </w:pPr>
            <w:r w:rsidRPr="009120A2">
              <w:t>3.6 (4)</w:t>
            </w:r>
          </w:p>
        </w:tc>
        <w:tc>
          <w:tcPr>
            <w:tcW w:w="0" w:type="auto"/>
            <w:shd w:val="clear" w:color="auto" w:fill="E5B8B7" w:themeFill="accent2" w:themeFillTint="66"/>
          </w:tcPr>
          <w:p w:rsidR="00C870E2" w:rsidRPr="009120A2" w:rsidRDefault="00C870E2" w:rsidP="00C8580F">
            <w:pPr>
              <w:contextualSpacing/>
              <w:jc w:val="center"/>
            </w:pPr>
            <w:r w:rsidRPr="009120A2">
              <w:t>4.8 (5)</w:t>
            </w:r>
          </w:p>
        </w:tc>
        <w:tc>
          <w:tcPr>
            <w:tcW w:w="0" w:type="auto"/>
            <w:shd w:val="clear" w:color="auto" w:fill="E5B8B7" w:themeFill="accent2" w:themeFillTint="66"/>
          </w:tcPr>
          <w:p w:rsidR="00C870E2" w:rsidRPr="009120A2" w:rsidRDefault="00C870E2" w:rsidP="00C8580F">
            <w:pPr>
              <w:contextualSpacing/>
              <w:jc w:val="center"/>
            </w:pPr>
            <w:r w:rsidRPr="009120A2">
              <w:t>4.8 (5)</w:t>
            </w:r>
          </w:p>
        </w:tc>
        <w:tc>
          <w:tcPr>
            <w:tcW w:w="0" w:type="auto"/>
            <w:shd w:val="clear" w:color="auto" w:fill="E5B8B7" w:themeFill="accent2" w:themeFillTint="66"/>
          </w:tcPr>
          <w:p w:rsidR="00C870E2" w:rsidRPr="009120A2" w:rsidRDefault="00C870E2" w:rsidP="00C8580F">
            <w:pPr>
              <w:contextualSpacing/>
              <w:jc w:val="center"/>
            </w:pPr>
            <w:r w:rsidRPr="009120A2">
              <w:t>4.8 (5)</w:t>
            </w:r>
          </w:p>
        </w:tc>
      </w:tr>
      <w:tr w:rsidR="00C870E2" w:rsidRPr="009610A4" w:rsidTr="00C8580F">
        <w:tc>
          <w:tcPr>
            <w:tcW w:w="0" w:type="auto"/>
            <w:shd w:val="pct25" w:color="auto" w:fill="auto"/>
          </w:tcPr>
          <w:p w:rsidR="00C870E2" w:rsidRPr="00C870E2" w:rsidRDefault="00C870E2" w:rsidP="00C8580F">
            <w:pPr>
              <w:contextualSpacing/>
              <w:rPr>
                <w:b/>
              </w:rPr>
            </w:pPr>
            <w:r>
              <w:rPr>
                <w:b/>
              </w:rPr>
              <w:t>Major 98th</w:t>
            </w:r>
          </w:p>
        </w:tc>
        <w:tc>
          <w:tcPr>
            <w:tcW w:w="0" w:type="auto"/>
            <w:tcBorders>
              <w:bottom w:val="single" w:sz="4" w:space="0" w:color="auto"/>
            </w:tcBorders>
            <w:shd w:val="clear" w:color="auto" w:fill="E5B8B7" w:themeFill="accent2" w:themeFillTint="66"/>
          </w:tcPr>
          <w:p w:rsidR="00C870E2" w:rsidRPr="009120A2" w:rsidRDefault="00C870E2" w:rsidP="00C8580F">
            <w:pPr>
              <w:contextualSpacing/>
              <w:jc w:val="center"/>
            </w:pPr>
            <w:r w:rsidRPr="009120A2">
              <w:t>1.9 (2)</w:t>
            </w:r>
          </w:p>
        </w:tc>
        <w:tc>
          <w:tcPr>
            <w:tcW w:w="0" w:type="auto"/>
            <w:tcBorders>
              <w:bottom w:val="single" w:sz="4" w:space="0" w:color="auto"/>
            </w:tcBorders>
            <w:shd w:val="clear" w:color="auto" w:fill="E5B8B7" w:themeFill="accent2" w:themeFillTint="66"/>
          </w:tcPr>
          <w:p w:rsidR="00C870E2" w:rsidRPr="009120A2" w:rsidRDefault="00C870E2" w:rsidP="00C8580F">
            <w:pPr>
              <w:contextualSpacing/>
              <w:jc w:val="center"/>
            </w:pPr>
            <w:r w:rsidRPr="009120A2">
              <w:t>3.8 (4)</w:t>
            </w:r>
          </w:p>
        </w:tc>
        <w:tc>
          <w:tcPr>
            <w:tcW w:w="0" w:type="auto"/>
            <w:tcBorders>
              <w:bottom w:val="single" w:sz="4" w:space="0" w:color="auto"/>
            </w:tcBorders>
            <w:shd w:val="clear" w:color="auto" w:fill="E5B8B7" w:themeFill="accent2" w:themeFillTint="66"/>
          </w:tcPr>
          <w:p w:rsidR="00C870E2" w:rsidRPr="009120A2" w:rsidRDefault="00C870E2" w:rsidP="00C8580F">
            <w:pPr>
              <w:contextualSpacing/>
              <w:jc w:val="center"/>
            </w:pPr>
            <w:r w:rsidRPr="009120A2">
              <w:t>5.7 (6)</w:t>
            </w:r>
          </w:p>
        </w:tc>
        <w:tc>
          <w:tcPr>
            <w:tcW w:w="0" w:type="auto"/>
            <w:tcBorders>
              <w:bottom w:val="single" w:sz="4" w:space="0" w:color="auto"/>
            </w:tcBorders>
            <w:shd w:val="clear" w:color="auto" w:fill="E5B8B7" w:themeFill="accent2" w:themeFillTint="66"/>
          </w:tcPr>
          <w:p w:rsidR="00C870E2" w:rsidRPr="009120A2" w:rsidRDefault="00C870E2" w:rsidP="00C8580F">
            <w:pPr>
              <w:contextualSpacing/>
              <w:jc w:val="center"/>
            </w:pPr>
            <w:r w:rsidRPr="009120A2">
              <w:t>7.6 (8)</w:t>
            </w:r>
          </w:p>
        </w:tc>
        <w:tc>
          <w:tcPr>
            <w:tcW w:w="0" w:type="auto"/>
            <w:tcBorders>
              <w:bottom w:val="single" w:sz="4" w:space="0" w:color="auto"/>
            </w:tcBorders>
            <w:shd w:val="clear" w:color="auto" w:fill="E5B8B7" w:themeFill="accent2" w:themeFillTint="66"/>
          </w:tcPr>
          <w:p w:rsidR="00C870E2" w:rsidRPr="009120A2" w:rsidRDefault="00C870E2" w:rsidP="00C8580F">
            <w:pPr>
              <w:contextualSpacing/>
              <w:jc w:val="center"/>
            </w:pPr>
            <w:r w:rsidRPr="009120A2">
              <w:t>7.6 (8)</w:t>
            </w:r>
          </w:p>
        </w:tc>
        <w:tc>
          <w:tcPr>
            <w:tcW w:w="0" w:type="auto"/>
            <w:tcBorders>
              <w:bottom w:val="single" w:sz="4" w:space="0" w:color="auto"/>
            </w:tcBorders>
            <w:shd w:val="clear" w:color="auto" w:fill="E5B8B7" w:themeFill="accent2" w:themeFillTint="66"/>
          </w:tcPr>
          <w:p w:rsidR="00C870E2" w:rsidRPr="009120A2" w:rsidRDefault="00C870E2" w:rsidP="00C8580F">
            <w:pPr>
              <w:contextualSpacing/>
              <w:jc w:val="center"/>
            </w:pPr>
            <w:r w:rsidRPr="009120A2">
              <w:t>7.6 (8)</w:t>
            </w:r>
          </w:p>
        </w:tc>
      </w:tr>
      <w:tr w:rsidR="00C870E2" w:rsidRPr="009610A4" w:rsidTr="00C8580F">
        <w:tc>
          <w:tcPr>
            <w:tcW w:w="0" w:type="auto"/>
            <w:shd w:val="pct25" w:color="auto" w:fill="auto"/>
          </w:tcPr>
          <w:p w:rsidR="00C870E2" w:rsidRPr="00C870E2" w:rsidRDefault="00C870E2" w:rsidP="00C8580F">
            <w:pPr>
              <w:contextualSpacing/>
              <w:rPr>
                <w:b/>
              </w:rPr>
            </w:pPr>
            <w:r>
              <w:rPr>
                <w:b/>
              </w:rPr>
              <w:lastRenderedPageBreak/>
              <w:t>Total 2015</w:t>
            </w:r>
            <w:r w:rsidR="00C8580F">
              <w:rPr>
                <w:b/>
              </w:rPr>
              <w:t xml:space="preserve"> (98)</w:t>
            </w:r>
          </w:p>
        </w:tc>
        <w:tc>
          <w:tcPr>
            <w:tcW w:w="0" w:type="auto"/>
            <w:shd w:val="clear" w:color="auto" w:fill="D6E3BC" w:themeFill="accent3" w:themeFillTint="66"/>
          </w:tcPr>
          <w:p w:rsidR="00C870E2" w:rsidRPr="009610A4" w:rsidRDefault="00C870E2" w:rsidP="00C8580F">
            <w:pPr>
              <w:contextualSpacing/>
              <w:jc w:val="center"/>
            </w:pPr>
            <w:r w:rsidRPr="009610A4">
              <w:t>5</w:t>
            </w:r>
          </w:p>
        </w:tc>
        <w:tc>
          <w:tcPr>
            <w:tcW w:w="0" w:type="auto"/>
            <w:shd w:val="clear" w:color="auto" w:fill="D6E3BC" w:themeFill="accent3" w:themeFillTint="66"/>
          </w:tcPr>
          <w:p w:rsidR="00C870E2" w:rsidRPr="009610A4" w:rsidRDefault="00C870E2" w:rsidP="00C8580F">
            <w:pPr>
              <w:contextualSpacing/>
              <w:jc w:val="center"/>
            </w:pPr>
            <w:r w:rsidRPr="009610A4">
              <w:t>9</w:t>
            </w:r>
          </w:p>
        </w:tc>
        <w:tc>
          <w:tcPr>
            <w:tcW w:w="0" w:type="auto"/>
            <w:shd w:val="clear" w:color="auto" w:fill="D6E3BC" w:themeFill="accent3" w:themeFillTint="66"/>
          </w:tcPr>
          <w:p w:rsidR="00C870E2" w:rsidRPr="009610A4" w:rsidRDefault="00C870E2" w:rsidP="00C8580F">
            <w:pPr>
              <w:contextualSpacing/>
              <w:jc w:val="center"/>
            </w:pPr>
            <w:r w:rsidRPr="009610A4">
              <w:t>14</w:t>
            </w:r>
          </w:p>
        </w:tc>
        <w:tc>
          <w:tcPr>
            <w:tcW w:w="0" w:type="auto"/>
            <w:shd w:val="clear" w:color="auto" w:fill="D6E3BC" w:themeFill="accent3" w:themeFillTint="66"/>
          </w:tcPr>
          <w:p w:rsidR="00C870E2" w:rsidRPr="009610A4" w:rsidRDefault="00C870E2" w:rsidP="00C8580F">
            <w:pPr>
              <w:contextualSpacing/>
              <w:jc w:val="center"/>
            </w:pPr>
            <w:r w:rsidRPr="009610A4">
              <w:t>18</w:t>
            </w:r>
          </w:p>
        </w:tc>
        <w:tc>
          <w:tcPr>
            <w:tcW w:w="0" w:type="auto"/>
            <w:shd w:val="clear" w:color="auto" w:fill="D6E3BC" w:themeFill="accent3" w:themeFillTint="66"/>
          </w:tcPr>
          <w:p w:rsidR="00C870E2" w:rsidRPr="009610A4" w:rsidRDefault="00C870E2" w:rsidP="00C8580F">
            <w:pPr>
              <w:contextualSpacing/>
              <w:jc w:val="center"/>
            </w:pPr>
            <w:r w:rsidRPr="009610A4">
              <w:t>18</w:t>
            </w:r>
          </w:p>
        </w:tc>
        <w:tc>
          <w:tcPr>
            <w:tcW w:w="0" w:type="auto"/>
            <w:shd w:val="clear" w:color="auto" w:fill="D6E3BC" w:themeFill="accent3" w:themeFillTint="66"/>
          </w:tcPr>
          <w:p w:rsidR="00C870E2" w:rsidRPr="009610A4" w:rsidRDefault="00C870E2" w:rsidP="00C8580F">
            <w:pPr>
              <w:contextualSpacing/>
              <w:jc w:val="center"/>
            </w:pPr>
            <w:r w:rsidRPr="009610A4">
              <w:t>18</w:t>
            </w:r>
          </w:p>
        </w:tc>
      </w:tr>
      <w:tr w:rsidR="009120A2" w:rsidRPr="009610A4" w:rsidTr="00C8580F">
        <w:tc>
          <w:tcPr>
            <w:tcW w:w="0" w:type="auto"/>
            <w:shd w:val="pct25" w:color="auto" w:fill="auto"/>
          </w:tcPr>
          <w:p w:rsidR="009120A2" w:rsidRPr="00C870E2" w:rsidRDefault="009120A2" w:rsidP="00C8580F">
            <w:pPr>
              <w:contextualSpacing/>
              <w:rPr>
                <w:b/>
              </w:rPr>
            </w:pPr>
            <w:r>
              <w:rPr>
                <w:b/>
              </w:rPr>
              <w:t>Total 95th</w:t>
            </w:r>
          </w:p>
        </w:tc>
        <w:tc>
          <w:tcPr>
            <w:tcW w:w="0" w:type="auto"/>
            <w:shd w:val="clear" w:color="auto" w:fill="D6E3BC" w:themeFill="accent3" w:themeFillTint="66"/>
          </w:tcPr>
          <w:p w:rsidR="009120A2" w:rsidRPr="009610A4" w:rsidRDefault="009120A2" w:rsidP="00C8580F">
            <w:pPr>
              <w:contextualSpacing/>
              <w:jc w:val="center"/>
            </w:pPr>
            <w:r>
              <w:t>4.3 (4)</w:t>
            </w:r>
          </w:p>
        </w:tc>
        <w:tc>
          <w:tcPr>
            <w:tcW w:w="0" w:type="auto"/>
            <w:shd w:val="clear" w:color="auto" w:fill="D6E3BC" w:themeFill="accent3" w:themeFillTint="66"/>
          </w:tcPr>
          <w:p w:rsidR="009120A2" w:rsidRPr="009610A4" w:rsidRDefault="009120A2" w:rsidP="00C8580F">
            <w:pPr>
              <w:contextualSpacing/>
              <w:jc w:val="center"/>
            </w:pPr>
            <w:r>
              <w:t>8.6 (9)</w:t>
            </w:r>
          </w:p>
        </w:tc>
        <w:tc>
          <w:tcPr>
            <w:tcW w:w="0" w:type="auto"/>
            <w:shd w:val="clear" w:color="auto" w:fill="D6E3BC" w:themeFill="accent3" w:themeFillTint="66"/>
          </w:tcPr>
          <w:p w:rsidR="009120A2" w:rsidRPr="009610A4" w:rsidRDefault="009120A2" w:rsidP="00C8580F">
            <w:pPr>
              <w:contextualSpacing/>
              <w:jc w:val="center"/>
            </w:pPr>
            <w:r>
              <w:t>12.9 (13)</w:t>
            </w:r>
          </w:p>
        </w:tc>
        <w:tc>
          <w:tcPr>
            <w:tcW w:w="0" w:type="auto"/>
            <w:shd w:val="clear" w:color="auto" w:fill="D6E3BC" w:themeFill="accent3" w:themeFillTint="66"/>
          </w:tcPr>
          <w:p w:rsidR="009120A2" w:rsidRPr="009610A4" w:rsidRDefault="009120A2" w:rsidP="00C8580F">
            <w:pPr>
              <w:contextualSpacing/>
              <w:jc w:val="center"/>
            </w:pPr>
            <w:r>
              <w:t>17.2 (17)</w:t>
            </w:r>
          </w:p>
        </w:tc>
        <w:tc>
          <w:tcPr>
            <w:tcW w:w="0" w:type="auto"/>
            <w:shd w:val="clear" w:color="auto" w:fill="D6E3BC" w:themeFill="accent3" w:themeFillTint="66"/>
          </w:tcPr>
          <w:p w:rsidR="009120A2" w:rsidRPr="009610A4" w:rsidRDefault="009120A2" w:rsidP="00C8580F">
            <w:pPr>
              <w:contextualSpacing/>
              <w:jc w:val="center"/>
            </w:pPr>
            <w:r w:rsidRPr="00677470">
              <w:t>17.2 (17)</w:t>
            </w:r>
          </w:p>
        </w:tc>
        <w:tc>
          <w:tcPr>
            <w:tcW w:w="0" w:type="auto"/>
            <w:shd w:val="clear" w:color="auto" w:fill="D6E3BC" w:themeFill="accent3" w:themeFillTint="66"/>
          </w:tcPr>
          <w:p w:rsidR="009120A2" w:rsidRPr="009610A4" w:rsidRDefault="009120A2" w:rsidP="00C8580F">
            <w:pPr>
              <w:contextualSpacing/>
              <w:jc w:val="center"/>
            </w:pPr>
            <w:r w:rsidRPr="00677470">
              <w:t>17.2 (17)</w:t>
            </w:r>
          </w:p>
        </w:tc>
      </w:tr>
      <w:tr w:rsidR="009120A2" w:rsidRPr="009610A4" w:rsidTr="00C8580F">
        <w:tc>
          <w:tcPr>
            <w:tcW w:w="0" w:type="auto"/>
            <w:shd w:val="pct25" w:color="auto" w:fill="auto"/>
          </w:tcPr>
          <w:p w:rsidR="009120A2" w:rsidRPr="00C870E2" w:rsidRDefault="009120A2" w:rsidP="00C8580F">
            <w:pPr>
              <w:contextualSpacing/>
              <w:rPr>
                <w:b/>
              </w:rPr>
            </w:pPr>
            <w:r w:rsidRPr="00C870E2">
              <w:rPr>
                <w:b/>
              </w:rPr>
              <w:t>Total</w:t>
            </w:r>
            <w:r>
              <w:rPr>
                <w:b/>
              </w:rPr>
              <w:t xml:space="preserve"> 98th</w:t>
            </w:r>
          </w:p>
        </w:tc>
        <w:tc>
          <w:tcPr>
            <w:tcW w:w="0" w:type="auto"/>
            <w:shd w:val="clear" w:color="auto" w:fill="D6E3BC" w:themeFill="accent3" w:themeFillTint="66"/>
          </w:tcPr>
          <w:p w:rsidR="009120A2" w:rsidRPr="009610A4" w:rsidRDefault="009120A2" w:rsidP="00C8580F">
            <w:pPr>
              <w:contextualSpacing/>
              <w:jc w:val="center"/>
            </w:pPr>
            <w:r>
              <w:t>4.7 (5)</w:t>
            </w:r>
          </w:p>
        </w:tc>
        <w:tc>
          <w:tcPr>
            <w:tcW w:w="0" w:type="auto"/>
            <w:shd w:val="clear" w:color="auto" w:fill="D6E3BC" w:themeFill="accent3" w:themeFillTint="66"/>
          </w:tcPr>
          <w:p w:rsidR="009120A2" w:rsidRPr="009610A4" w:rsidRDefault="009120A2" w:rsidP="00C8580F">
            <w:pPr>
              <w:contextualSpacing/>
              <w:jc w:val="center"/>
            </w:pPr>
            <w:r>
              <w:t>9.4 (9)</w:t>
            </w:r>
          </w:p>
        </w:tc>
        <w:tc>
          <w:tcPr>
            <w:tcW w:w="0" w:type="auto"/>
            <w:shd w:val="clear" w:color="auto" w:fill="D6E3BC" w:themeFill="accent3" w:themeFillTint="66"/>
          </w:tcPr>
          <w:p w:rsidR="009120A2" w:rsidRPr="009610A4" w:rsidRDefault="009120A2" w:rsidP="00C8580F">
            <w:pPr>
              <w:contextualSpacing/>
              <w:jc w:val="center"/>
            </w:pPr>
            <w:r>
              <w:t>14.1 (14)</w:t>
            </w:r>
          </w:p>
        </w:tc>
        <w:tc>
          <w:tcPr>
            <w:tcW w:w="0" w:type="auto"/>
            <w:shd w:val="clear" w:color="auto" w:fill="D6E3BC" w:themeFill="accent3" w:themeFillTint="66"/>
          </w:tcPr>
          <w:p w:rsidR="009120A2" w:rsidRPr="009610A4" w:rsidRDefault="009120A2" w:rsidP="00C8580F">
            <w:pPr>
              <w:contextualSpacing/>
              <w:jc w:val="center"/>
            </w:pPr>
            <w:r>
              <w:t>18.8 (19)</w:t>
            </w:r>
          </w:p>
        </w:tc>
        <w:tc>
          <w:tcPr>
            <w:tcW w:w="0" w:type="auto"/>
            <w:shd w:val="clear" w:color="auto" w:fill="D6E3BC" w:themeFill="accent3" w:themeFillTint="66"/>
          </w:tcPr>
          <w:p w:rsidR="009120A2" w:rsidRPr="009610A4" w:rsidRDefault="009120A2" w:rsidP="00C8580F">
            <w:pPr>
              <w:contextualSpacing/>
              <w:jc w:val="center"/>
            </w:pPr>
            <w:r w:rsidRPr="000872A1">
              <w:t>18.8 (19)</w:t>
            </w:r>
          </w:p>
        </w:tc>
        <w:tc>
          <w:tcPr>
            <w:tcW w:w="0" w:type="auto"/>
            <w:shd w:val="clear" w:color="auto" w:fill="D6E3BC" w:themeFill="accent3" w:themeFillTint="66"/>
          </w:tcPr>
          <w:p w:rsidR="009120A2" w:rsidRPr="009610A4" w:rsidRDefault="009120A2" w:rsidP="00C8580F">
            <w:pPr>
              <w:contextualSpacing/>
              <w:jc w:val="center"/>
            </w:pPr>
            <w:r w:rsidRPr="000872A1">
              <w:t>18.8 (19)</w:t>
            </w:r>
          </w:p>
        </w:tc>
      </w:tr>
    </w:tbl>
    <w:p w:rsidR="00941507" w:rsidRDefault="00941507" w:rsidP="00941507">
      <w:pPr>
        <w:ind w:left="720"/>
        <w:contextualSpacing/>
      </w:pPr>
    </w:p>
    <w:p w:rsidR="004B4926" w:rsidRPr="009610A4" w:rsidRDefault="004B4926" w:rsidP="00941507">
      <w:pPr>
        <w:ind w:left="720"/>
        <w:contextualSpacing/>
      </w:pPr>
    </w:p>
    <w:p w:rsidR="00941507" w:rsidRPr="004B4926" w:rsidRDefault="00941507" w:rsidP="00941507">
      <w:pPr>
        <w:ind w:left="720"/>
        <w:contextualSpacing/>
        <w:rPr>
          <w:b/>
        </w:rPr>
      </w:pPr>
      <w:r w:rsidRPr="004B4926">
        <w:rPr>
          <w:b/>
        </w:rPr>
        <w:t>Re-Accreditation Audits:</w:t>
      </w:r>
    </w:p>
    <w:p w:rsidR="00C8580F" w:rsidRDefault="00C8580F" w:rsidP="00941507">
      <w:pPr>
        <w:ind w:left="720"/>
        <w:contextualSpacing/>
      </w:pPr>
    </w:p>
    <w:p w:rsidR="004B4926" w:rsidRPr="009120A2" w:rsidRDefault="004B4926" w:rsidP="004B4926">
      <w:pPr>
        <w:spacing w:after="0"/>
        <w:ind w:left="720"/>
      </w:pPr>
      <w:r w:rsidRPr="009120A2">
        <w:t xml:space="preserve">NCRs per audit </w:t>
      </w:r>
      <w:r>
        <w:t>day based on analysis of audits conducted in 2015:</w:t>
      </w: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705"/>
        <w:gridCol w:w="2551"/>
      </w:tblGrid>
      <w:tr w:rsidR="004B4926" w:rsidRPr="00941507" w:rsidTr="00C166DF">
        <w:trPr>
          <w:trHeight w:val="255"/>
        </w:trPr>
        <w:tc>
          <w:tcPr>
            <w:tcW w:w="2637" w:type="dxa"/>
            <w:shd w:val="clear" w:color="auto" w:fill="auto"/>
            <w:noWrap/>
            <w:vAlign w:val="bottom"/>
          </w:tcPr>
          <w:p w:rsidR="004B4926" w:rsidRPr="00941507" w:rsidRDefault="004B4926" w:rsidP="00C8580F">
            <w:pPr>
              <w:spacing w:after="0"/>
              <w:rPr>
                <w:rFonts w:eastAsia="Times New Roman" w:cs="Arial"/>
                <w:szCs w:val="20"/>
                <w:lang w:val="en-GB" w:eastAsia="en-GB"/>
              </w:rPr>
            </w:pPr>
          </w:p>
        </w:tc>
        <w:tc>
          <w:tcPr>
            <w:tcW w:w="2705" w:type="dxa"/>
            <w:shd w:val="clear" w:color="auto" w:fill="auto"/>
            <w:noWrap/>
            <w:vAlign w:val="bottom"/>
          </w:tcPr>
          <w:p w:rsidR="004B4926" w:rsidRPr="00941507" w:rsidRDefault="004B4926" w:rsidP="00C8580F">
            <w:pPr>
              <w:spacing w:after="0"/>
              <w:jc w:val="center"/>
              <w:rPr>
                <w:rFonts w:eastAsia="Times New Roman" w:cs="Arial"/>
                <w:szCs w:val="20"/>
                <w:lang w:val="en-GB" w:eastAsia="en-GB"/>
              </w:rPr>
            </w:pPr>
            <w:r>
              <w:rPr>
                <w:rFonts w:eastAsia="Times New Roman" w:cs="Arial"/>
                <w:szCs w:val="20"/>
                <w:lang w:val="en-GB" w:eastAsia="en-GB"/>
              </w:rPr>
              <w:t>Major NCRs per Audit Day</w:t>
            </w:r>
          </w:p>
        </w:tc>
        <w:tc>
          <w:tcPr>
            <w:tcW w:w="2551" w:type="dxa"/>
            <w:shd w:val="clear" w:color="auto" w:fill="auto"/>
            <w:noWrap/>
            <w:vAlign w:val="bottom"/>
          </w:tcPr>
          <w:p w:rsidR="004B4926" w:rsidRPr="00941507" w:rsidRDefault="004B4926" w:rsidP="00C8580F">
            <w:pPr>
              <w:spacing w:after="0"/>
              <w:jc w:val="center"/>
              <w:rPr>
                <w:rFonts w:eastAsia="Times New Roman" w:cs="Arial"/>
                <w:szCs w:val="20"/>
                <w:lang w:val="en-GB" w:eastAsia="en-GB"/>
              </w:rPr>
            </w:pPr>
            <w:r>
              <w:rPr>
                <w:rFonts w:eastAsia="Times New Roman" w:cs="Arial"/>
                <w:szCs w:val="20"/>
                <w:lang w:val="en-GB" w:eastAsia="en-GB"/>
              </w:rPr>
              <w:t>Total NCRs per Audit Day</w:t>
            </w:r>
          </w:p>
        </w:tc>
      </w:tr>
      <w:tr w:rsidR="004B4926" w:rsidRPr="00941507" w:rsidTr="00C166DF">
        <w:trPr>
          <w:trHeight w:val="255"/>
        </w:trPr>
        <w:tc>
          <w:tcPr>
            <w:tcW w:w="2637" w:type="dxa"/>
            <w:shd w:val="clear" w:color="auto" w:fill="auto"/>
            <w:noWrap/>
            <w:vAlign w:val="bottom"/>
            <w:hideMark/>
          </w:tcPr>
          <w:p w:rsidR="004B4926" w:rsidRPr="00941507" w:rsidRDefault="004B4926" w:rsidP="00C8580F">
            <w:pPr>
              <w:spacing w:after="0"/>
              <w:rPr>
                <w:rFonts w:eastAsia="Times New Roman" w:cs="Arial"/>
                <w:szCs w:val="20"/>
                <w:lang w:val="en-GB" w:eastAsia="en-GB"/>
              </w:rPr>
            </w:pPr>
            <w:r w:rsidRPr="00941507">
              <w:rPr>
                <w:rFonts w:eastAsia="Times New Roman" w:cs="Arial"/>
                <w:szCs w:val="20"/>
                <w:lang w:val="en-GB" w:eastAsia="en-GB"/>
              </w:rPr>
              <w:t>95th Percentile</w:t>
            </w:r>
          </w:p>
        </w:tc>
        <w:tc>
          <w:tcPr>
            <w:tcW w:w="2705" w:type="dxa"/>
            <w:shd w:val="clear" w:color="auto" w:fill="auto"/>
            <w:noWrap/>
            <w:vAlign w:val="bottom"/>
            <w:hideMark/>
          </w:tcPr>
          <w:p w:rsidR="004B4926" w:rsidRPr="00941507" w:rsidRDefault="004B4926" w:rsidP="00C8580F">
            <w:pPr>
              <w:spacing w:after="0"/>
              <w:jc w:val="center"/>
              <w:rPr>
                <w:rFonts w:eastAsia="Times New Roman" w:cs="Arial"/>
                <w:szCs w:val="20"/>
                <w:lang w:val="en-GB" w:eastAsia="en-GB"/>
              </w:rPr>
            </w:pPr>
            <w:r>
              <w:rPr>
                <w:rFonts w:cs="Arial"/>
                <w:szCs w:val="20"/>
              </w:rPr>
              <w:t>1.0</w:t>
            </w:r>
          </w:p>
        </w:tc>
        <w:tc>
          <w:tcPr>
            <w:tcW w:w="2551" w:type="dxa"/>
            <w:shd w:val="clear" w:color="auto" w:fill="auto"/>
            <w:noWrap/>
            <w:vAlign w:val="bottom"/>
            <w:hideMark/>
          </w:tcPr>
          <w:p w:rsidR="004B4926" w:rsidRPr="00941507" w:rsidRDefault="004B4926" w:rsidP="00C8580F">
            <w:pPr>
              <w:spacing w:after="0"/>
              <w:jc w:val="center"/>
              <w:rPr>
                <w:rFonts w:eastAsia="Times New Roman" w:cs="Arial"/>
                <w:szCs w:val="20"/>
                <w:lang w:val="en-GB" w:eastAsia="en-GB"/>
              </w:rPr>
            </w:pPr>
            <w:r>
              <w:rPr>
                <w:rFonts w:cs="Arial"/>
                <w:szCs w:val="20"/>
              </w:rPr>
              <w:t>2.6</w:t>
            </w:r>
          </w:p>
        </w:tc>
      </w:tr>
      <w:tr w:rsidR="004B4926" w:rsidRPr="00941507" w:rsidTr="00C166DF">
        <w:trPr>
          <w:trHeight w:val="255"/>
        </w:trPr>
        <w:tc>
          <w:tcPr>
            <w:tcW w:w="2637" w:type="dxa"/>
            <w:shd w:val="clear" w:color="auto" w:fill="auto"/>
            <w:noWrap/>
            <w:vAlign w:val="bottom"/>
            <w:hideMark/>
          </w:tcPr>
          <w:p w:rsidR="004B4926" w:rsidRPr="00941507" w:rsidRDefault="004B4926" w:rsidP="00C8580F">
            <w:pPr>
              <w:spacing w:after="0"/>
              <w:rPr>
                <w:rFonts w:eastAsia="Times New Roman" w:cs="Arial"/>
                <w:szCs w:val="20"/>
                <w:lang w:val="en-GB" w:eastAsia="en-GB"/>
              </w:rPr>
            </w:pPr>
            <w:r w:rsidRPr="00941507">
              <w:rPr>
                <w:rFonts w:eastAsia="Times New Roman" w:cs="Arial"/>
                <w:szCs w:val="20"/>
                <w:lang w:val="en-GB" w:eastAsia="en-GB"/>
              </w:rPr>
              <w:t>98th Percentile</w:t>
            </w:r>
          </w:p>
        </w:tc>
        <w:tc>
          <w:tcPr>
            <w:tcW w:w="2705" w:type="dxa"/>
            <w:shd w:val="clear" w:color="auto" w:fill="auto"/>
            <w:noWrap/>
            <w:vAlign w:val="bottom"/>
            <w:hideMark/>
          </w:tcPr>
          <w:p w:rsidR="004B4926" w:rsidRPr="00941507" w:rsidRDefault="004B4926" w:rsidP="00C8580F">
            <w:pPr>
              <w:spacing w:after="0"/>
              <w:jc w:val="center"/>
              <w:rPr>
                <w:rFonts w:eastAsia="Times New Roman" w:cs="Arial"/>
                <w:szCs w:val="20"/>
                <w:lang w:val="en-GB" w:eastAsia="en-GB"/>
              </w:rPr>
            </w:pPr>
            <w:r>
              <w:rPr>
                <w:rFonts w:cs="Arial"/>
                <w:szCs w:val="20"/>
              </w:rPr>
              <w:t>1.3</w:t>
            </w:r>
          </w:p>
        </w:tc>
        <w:tc>
          <w:tcPr>
            <w:tcW w:w="2551" w:type="dxa"/>
            <w:shd w:val="clear" w:color="auto" w:fill="auto"/>
            <w:noWrap/>
            <w:vAlign w:val="bottom"/>
            <w:hideMark/>
          </w:tcPr>
          <w:p w:rsidR="004B4926" w:rsidRPr="00941507" w:rsidRDefault="004B4926" w:rsidP="00C8580F">
            <w:pPr>
              <w:spacing w:after="0"/>
              <w:jc w:val="center"/>
              <w:rPr>
                <w:rFonts w:eastAsia="Times New Roman" w:cs="Arial"/>
                <w:szCs w:val="20"/>
                <w:lang w:val="en-GB" w:eastAsia="en-GB"/>
              </w:rPr>
            </w:pPr>
            <w:r>
              <w:rPr>
                <w:rFonts w:cs="Arial"/>
                <w:szCs w:val="20"/>
              </w:rPr>
              <w:t>3.0</w:t>
            </w:r>
          </w:p>
        </w:tc>
      </w:tr>
    </w:tbl>
    <w:p w:rsidR="004B4926" w:rsidRDefault="004B4926" w:rsidP="00941507">
      <w:pPr>
        <w:ind w:left="720"/>
        <w:contextualSpacing/>
      </w:pPr>
    </w:p>
    <w:p w:rsidR="004B4926" w:rsidRPr="004B4926" w:rsidRDefault="004B4926" w:rsidP="004B4926">
      <w:pPr>
        <w:ind w:left="720"/>
        <w:contextualSpacing/>
      </w:pPr>
      <w:r w:rsidRPr="004B4926">
        <w:t>Comparison of previous failure criteria to 95</w:t>
      </w:r>
      <w:r w:rsidRPr="004B4926">
        <w:rPr>
          <w:vertAlign w:val="superscript"/>
        </w:rPr>
        <w:t>th</w:t>
      </w:r>
      <w:r w:rsidRPr="004B4926">
        <w:t xml:space="preserve"> and 98</w:t>
      </w:r>
      <w:r w:rsidRPr="004B4926">
        <w:rPr>
          <w:vertAlign w:val="superscript"/>
        </w:rPr>
        <w:t>th</w:t>
      </w:r>
      <w:r w:rsidRPr="004B4926">
        <w:t xml:space="preserve"> percentiles</w:t>
      </w:r>
    </w:p>
    <w:tbl>
      <w:tblPr>
        <w:tblStyle w:val="TableGrid"/>
        <w:tblW w:w="0" w:type="auto"/>
        <w:tblInd w:w="720" w:type="dxa"/>
        <w:tblLook w:val="04A0" w:firstRow="1" w:lastRow="0" w:firstColumn="1" w:lastColumn="0" w:noHBand="0" w:noVBand="1"/>
      </w:tblPr>
      <w:tblGrid>
        <w:gridCol w:w="1662"/>
        <w:gridCol w:w="795"/>
        <w:gridCol w:w="795"/>
        <w:gridCol w:w="795"/>
        <w:gridCol w:w="1017"/>
        <w:gridCol w:w="1017"/>
        <w:gridCol w:w="1017"/>
      </w:tblGrid>
      <w:tr w:rsidR="004B4926" w:rsidRPr="009610A4" w:rsidTr="00C8580F">
        <w:tc>
          <w:tcPr>
            <w:tcW w:w="0" w:type="auto"/>
            <w:tcBorders>
              <w:bottom w:val="single" w:sz="4" w:space="0" w:color="auto"/>
            </w:tcBorders>
            <w:shd w:val="pct25" w:color="auto" w:fill="auto"/>
          </w:tcPr>
          <w:p w:rsidR="004B4926" w:rsidRPr="00C870E2" w:rsidRDefault="004B4926" w:rsidP="00C8580F">
            <w:pPr>
              <w:contextualSpacing/>
              <w:rPr>
                <w:b/>
              </w:rPr>
            </w:pPr>
            <w:r w:rsidRPr="00C870E2">
              <w:rPr>
                <w:b/>
              </w:rPr>
              <w:t>Days</w:t>
            </w:r>
          </w:p>
        </w:tc>
        <w:tc>
          <w:tcPr>
            <w:tcW w:w="0" w:type="auto"/>
            <w:tcBorders>
              <w:bottom w:val="single" w:sz="4" w:space="0" w:color="auto"/>
            </w:tcBorders>
            <w:shd w:val="pct25" w:color="auto" w:fill="auto"/>
          </w:tcPr>
          <w:p w:rsidR="004B4926" w:rsidRPr="00C870E2" w:rsidRDefault="004B4926" w:rsidP="00C8580F">
            <w:pPr>
              <w:contextualSpacing/>
              <w:jc w:val="center"/>
              <w:rPr>
                <w:b/>
              </w:rPr>
            </w:pPr>
            <w:r w:rsidRPr="00C870E2">
              <w:rPr>
                <w:b/>
              </w:rPr>
              <w:t>1</w:t>
            </w:r>
          </w:p>
        </w:tc>
        <w:tc>
          <w:tcPr>
            <w:tcW w:w="0" w:type="auto"/>
            <w:tcBorders>
              <w:bottom w:val="single" w:sz="4" w:space="0" w:color="auto"/>
            </w:tcBorders>
            <w:shd w:val="pct25" w:color="auto" w:fill="auto"/>
          </w:tcPr>
          <w:p w:rsidR="004B4926" w:rsidRPr="00C870E2" w:rsidRDefault="004B4926" w:rsidP="00C8580F">
            <w:pPr>
              <w:contextualSpacing/>
              <w:jc w:val="center"/>
              <w:rPr>
                <w:b/>
              </w:rPr>
            </w:pPr>
            <w:r w:rsidRPr="00C870E2">
              <w:rPr>
                <w:b/>
              </w:rPr>
              <w:t>2</w:t>
            </w:r>
          </w:p>
        </w:tc>
        <w:tc>
          <w:tcPr>
            <w:tcW w:w="0" w:type="auto"/>
            <w:tcBorders>
              <w:bottom w:val="single" w:sz="4" w:space="0" w:color="auto"/>
            </w:tcBorders>
            <w:shd w:val="pct25" w:color="auto" w:fill="auto"/>
          </w:tcPr>
          <w:p w:rsidR="004B4926" w:rsidRPr="00C870E2" w:rsidRDefault="004B4926" w:rsidP="00C8580F">
            <w:pPr>
              <w:contextualSpacing/>
              <w:jc w:val="center"/>
              <w:rPr>
                <w:b/>
              </w:rPr>
            </w:pPr>
            <w:r w:rsidRPr="00C870E2">
              <w:rPr>
                <w:b/>
              </w:rPr>
              <w:t>3</w:t>
            </w:r>
          </w:p>
        </w:tc>
        <w:tc>
          <w:tcPr>
            <w:tcW w:w="0" w:type="auto"/>
            <w:tcBorders>
              <w:bottom w:val="single" w:sz="4" w:space="0" w:color="auto"/>
            </w:tcBorders>
            <w:shd w:val="pct25" w:color="auto" w:fill="auto"/>
          </w:tcPr>
          <w:p w:rsidR="004B4926" w:rsidRPr="00C870E2" w:rsidRDefault="004B4926" w:rsidP="00C8580F">
            <w:pPr>
              <w:contextualSpacing/>
              <w:jc w:val="center"/>
              <w:rPr>
                <w:b/>
              </w:rPr>
            </w:pPr>
            <w:r w:rsidRPr="00C870E2">
              <w:rPr>
                <w:b/>
              </w:rPr>
              <w:t>4</w:t>
            </w:r>
          </w:p>
        </w:tc>
        <w:tc>
          <w:tcPr>
            <w:tcW w:w="0" w:type="auto"/>
            <w:tcBorders>
              <w:bottom w:val="single" w:sz="4" w:space="0" w:color="auto"/>
            </w:tcBorders>
            <w:shd w:val="pct25" w:color="auto" w:fill="auto"/>
          </w:tcPr>
          <w:p w:rsidR="004B4926" w:rsidRPr="00C870E2" w:rsidRDefault="004B4926" w:rsidP="00C8580F">
            <w:pPr>
              <w:contextualSpacing/>
              <w:jc w:val="center"/>
              <w:rPr>
                <w:b/>
              </w:rPr>
            </w:pPr>
            <w:r w:rsidRPr="00C870E2">
              <w:rPr>
                <w:b/>
              </w:rPr>
              <w:t>5</w:t>
            </w:r>
          </w:p>
        </w:tc>
        <w:tc>
          <w:tcPr>
            <w:tcW w:w="0" w:type="auto"/>
            <w:tcBorders>
              <w:bottom w:val="single" w:sz="4" w:space="0" w:color="auto"/>
            </w:tcBorders>
            <w:shd w:val="pct25" w:color="auto" w:fill="auto"/>
          </w:tcPr>
          <w:p w:rsidR="004B4926" w:rsidRPr="00C870E2" w:rsidRDefault="004B4926" w:rsidP="00C8580F">
            <w:pPr>
              <w:contextualSpacing/>
              <w:jc w:val="center"/>
              <w:rPr>
                <w:b/>
              </w:rPr>
            </w:pPr>
            <w:r w:rsidRPr="00C870E2">
              <w:rPr>
                <w:b/>
              </w:rPr>
              <w:t>6</w:t>
            </w:r>
          </w:p>
        </w:tc>
      </w:tr>
      <w:tr w:rsidR="004B4926" w:rsidRPr="009610A4" w:rsidTr="00C8580F">
        <w:tc>
          <w:tcPr>
            <w:tcW w:w="0" w:type="auto"/>
            <w:shd w:val="pct25" w:color="auto" w:fill="auto"/>
          </w:tcPr>
          <w:p w:rsidR="004B4926" w:rsidRPr="00C8580F" w:rsidRDefault="004B4926" w:rsidP="00C8580F">
            <w:pPr>
              <w:contextualSpacing/>
              <w:rPr>
                <w:b/>
              </w:rPr>
            </w:pPr>
            <w:r w:rsidRPr="00C8580F">
              <w:rPr>
                <w:b/>
              </w:rPr>
              <w:t>Major 2015</w:t>
            </w:r>
            <w:r w:rsidR="00C8580F" w:rsidRPr="00C8580F">
              <w:rPr>
                <w:b/>
              </w:rPr>
              <w:t xml:space="preserve"> (98)</w:t>
            </w:r>
          </w:p>
        </w:tc>
        <w:tc>
          <w:tcPr>
            <w:tcW w:w="0" w:type="auto"/>
            <w:shd w:val="clear" w:color="auto" w:fill="E5B8B7" w:themeFill="accent2" w:themeFillTint="66"/>
          </w:tcPr>
          <w:p w:rsidR="004B4926" w:rsidRPr="009120A2" w:rsidRDefault="004B4926" w:rsidP="00C8580F">
            <w:pPr>
              <w:contextualSpacing/>
              <w:jc w:val="center"/>
            </w:pPr>
            <w:r w:rsidRPr="009610A4">
              <w:t>2</w:t>
            </w:r>
          </w:p>
        </w:tc>
        <w:tc>
          <w:tcPr>
            <w:tcW w:w="0" w:type="auto"/>
            <w:shd w:val="clear" w:color="auto" w:fill="E5B8B7" w:themeFill="accent2" w:themeFillTint="66"/>
          </w:tcPr>
          <w:p w:rsidR="004B4926" w:rsidRPr="009120A2" w:rsidRDefault="004B4926" w:rsidP="00C8580F">
            <w:pPr>
              <w:contextualSpacing/>
              <w:jc w:val="center"/>
            </w:pPr>
            <w:r w:rsidRPr="009610A4">
              <w:t>3</w:t>
            </w:r>
          </w:p>
        </w:tc>
        <w:tc>
          <w:tcPr>
            <w:tcW w:w="0" w:type="auto"/>
            <w:shd w:val="clear" w:color="auto" w:fill="E5B8B7" w:themeFill="accent2" w:themeFillTint="66"/>
          </w:tcPr>
          <w:p w:rsidR="004B4926" w:rsidRPr="009120A2" w:rsidRDefault="004B4926" w:rsidP="00C8580F">
            <w:pPr>
              <w:contextualSpacing/>
              <w:jc w:val="center"/>
            </w:pPr>
            <w:r w:rsidRPr="009610A4">
              <w:t>4</w:t>
            </w:r>
          </w:p>
        </w:tc>
        <w:tc>
          <w:tcPr>
            <w:tcW w:w="0" w:type="auto"/>
            <w:shd w:val="clear" w:color="auto" w:fill="E5B8B7" w:themeFill="accent2" w:themeFillTint="66"/>
          </w:tcPr>
          <w:p w:rsidR="004B4926" w:rsidRPr="009120A2" w:rsidRDefault="004B4926" w:rsidP="00C8580F">
            <w:pPr>
              <w:contextualSpacing/>
              <w:jc w:val="center"/>
            </w:pPr>
            <w:r w:rsidRPr="009610A4">
              <w:t>6</w:t>
            </w:r>
          </w:p>
        </w:tc>
        <w:tc>
          <w:tcPr>
            <w:tcW w:w="0" w:type="auto"/>
            <w:shd w:val="clear" w:color="auto" w:fill="E5B8B7" w:themeFill="accent2" w:themeFillTint="66"/>
          </w:tcPr>
          <w:p w:rsidR="004B4926" w:rsidRPr="009120A2" w:rsidRDefault="004B4926" w:rsidP="00C8580F">
            <w:pPr>
              <w:contextualSpacing/>
              <w:jc w:val="center"/>
            </w:pPr>
            <w:r w:rsidRPr="009610A4">
              <w:t>6</w:t>
            </w:r>
          </w:p>
        </w:tc>
        <w:tc>
          <w:tcPr>
            <w:tcW w:w="0" w:type="auto"/>
            <w:shd w:val="clear" w:color="auto" w:fill="E5B8B7" w:themeFill="accent2" w:themeFillTint="66"/>
          </w:tcPr>
          <w:p w:rsidR="004B4926" w:rsidRPr="009120A2" w:rsidRDefault="004B4926" w:rsidP="00C8580F">
            <w:pPr>
              <w:contextualSpacing/>
              <w:jc w:val="center"/>
            </w:pPr>
            <w:r w:rsidRPr="009610A4">
              <w:t>6</w:t>
            </w:r>
          </w:p>
        </w:tc>
      </w:tr>
      <w:tr w:rsidR="004B4926" w:rsidRPr="009610A4" w:rsidTr="00C8580F">
        <w:tc>
          <w:tcPr>
            <w:tcW w:w="0" w:type="auto"/>
            <w:shd w:val="pct25" w:color="auto" w:fill="auto"/>
          </w:tcPr>
          <w:p w:rsidR="004B4926" w:rsidRPr="00C8580F" w:rsidRDefault="004B4926" w:rsidP="00C8580F">
            <w:pPr>
              <w:contextualSpacing/>
              <w:rPr>
                <w:b/>
              </w:rPr>
            </w:pPr>
            <w:r w:rsidRPr="00C8580F">
              <w:rPr>
                <w:b/>
              </w:rPr>
              <w:t>Major 95th</w:t>
            </w:r>
          </w:p>
        </w:tc>
        <w:tc>
          <w:tcPr>
            <w:tcW w:w="0" w:type="auto"/>
            <w:shd w:val="clear" w:color="auto" w:fill="E5B8B7" w:themeFill="accent2" w:themeFillTint="66"/>
          </w:tcPr>
          <w:p w:rsidR="004B4926" w:rsidRPr="009120A2" w:rsidRDefault="004B4926" w:rsidP="00C8580F">
            <w:pPr>
              <w:contextualSpacing/>
              <w:jc w:val="center"/>
            </w:pPr>
            <w:r>
              <w:t>1.0 (1)</w:t>
            </w:r>
          </w:p>
        </w:tc>
        <w:tc>
          <w:tcPr>
            <w:tcW w:w="0" w:type="auto"/>
            <w:shd w:val="clear" w:color="auto" w:fill="E5B8B7" w:themeFill="accent2" w:themeFillTint="66"/>
          </w:tcPr>
          <w:p w:rsidR="004B4926" w:rsidRPr="009120A2" w:rsidRDefault="004B4926" w:rsidP="00C8580F">
            <w:pPr>
              <w:contextualSpacing/>
              <w:jc w:val="center"/>
            </w:pPr>
            <w:r>
              <w:t>2.0 (2)</w:t>
            </w:r>
          </w:p>
        </w:tc>
        <w:tc>
          <w:tcPr>
            <w:tcW w:w="0" w:type="auto"/>
            <w:shd w:val="clear" w:color="auto" w:fill="E5B8B7" w:themeFill="accent2" w:themeFillTint="66"/>
          </w:tcPr>
          <w:p w:rsidR="004B4926" w:rsidRPr="009120A2" w:rsidRDefault="004B4926" w:rsidP="00C8580F">
            <w:pPr>
              <w:contextualSpacing/>
              <w:jc w:val="center"/>
            </w:pPr>
            <w:r>
              <w:t>3.0 (3)</w:t>
            </w:r>
          </w:p>
        </w:tc>
        <w:tc>
          <w:tcPr>
            <w:tcW w:w="0" w:type="auto"/>
            <w:shd w:val="clear" w:color="auto" w:fill="E5B8B7" w:themeFill="accent2" w:themeFillTint="66"/>
          </w:tcPr>
          <w:p w:rsidR="004B4926" w:rsidRPr="009120A2" w:rsidRDefault="004B4926" w:rsidP="00C8580F">
            <w:pPr>
              <w:contextualSpacing/>
              <w:jc w:val="center"/>
            </w:pPr>
            <w:r>
              <w:t>4.0 (4)</w:t>
            </w:r>
          </w:p>
        </w:tc>
        <w:tc>
          <w:tcPr>
            <w:tcW w:w="0" w:type="auto"/>
            <w:shd w:val="clear" w:color="auto" w:fill="E5B8B7" w:themeFill="accent2" w:themeFillTint="66"/>
          </w:tcPr>
          <w:p w:rsidR="004B4926" w:rsidRPr="009120A2" w:rsidRDefault="004B4926" w:rsidP="00C8580F">
            <w:pPr>
              <w:contextualSpacing/>
              <w:jc w:val="center"/>
            </w:pPr>
            <w:r w:rsidRPr="004F489E">
              <w:t>4.0 (4)</w:t>
            </w:r>
          </w:p>
        </w:tc>
        <w:tc>
          <w:tcPr>
            <w:tcW w:w="0" w:type="auto"/>
            <w:shd w:val="clear" w:color="auto" w:fill="E5B8B7" w:themeFill="accent2" w:themeFillTint="66"/>
          </w:tcPr>
          <w:p w:rsidR="004B4926" w:rsidRPr="009120A2" w:rsidRDefault="004B4926" w:rsidP="00C8580F">
            <w:pPr>
              <w:contextualSpacing/>
              <w:jc w:val="center"/>
            </w:pPr>
            <w:r w:rsidRPr="004F489E">
              <w:t>4.0 (4)</w:t>
            </w:r>
          </w:p>
        </w:tc>
      </w:tr>
      <w:tr w:rsidR="004B4926" w:rsidRPr="009610A4" w:rsidTr="00C8580F">
        <w:tc>
          <w:tcPr>
            <w:tcW w:w="0" w:type="auto"/>
            <w:shd w:val="pct25" w:color="auto" w:fill="auto"/>
          </w:tcPr>
          <w:p w:rsidR="004B4926" w:rsidRPr="00C8580F" w:rsidRDefault="004B4926" w:rsidP="00C8580F">
            <w:pPr>
              <w:contextualSpacing/>
              <w:rPr>
                <w:b/>
              </w:rPr>
            </w:pPr>
            <w:r w:rsidRPr="00C8580F">
              <w:rPr>
                <w:b/>
              </w:rPr>
              <w:t>Major 98th</w:t>
            </w:r>
          </w:p>
        </w:tc>
        <w:tc>
          <w:tcPr>
            <w:tcW w:w="0" w:type="auto"/>
            <w:tcBorders>
              <w:bottom w:val="single" w:sz="4" w:space="0" w:color="auto"/>
            </w:tcBorders>
            <w:shd w:val="clear" w:color="auto" w:fill="E5B8B7" w:themeFill="accent2" w:themeFillTint="66"/>
          </w:tcPr>
          <w:p w:rsidR="004B4926" w:rsidRPr="009120A2" w:rsidRDefault="004B4926" w:rsidP="00C8580F">
            <w:pPr>
              <w:contextualSpacing/>
              <w:jc w:val="center"/>
            </w:pPr>
            <w:r>
              <w:t>1.3 (1)</w:t>
            </w:r>
          </w:p>
        </w:tc>
        <w:tc>
          <w:tcPr>
            <w:tcW w:w="0" w:type="auto"/>
            <w:tcBorders>
              <w:bottom w:val="single" w:sz="4" w:space="0" w:color="auto"/>
            </w:tcBorders>
            <w:shd w:val="clear" w:color="auto" w:fill="E5B8B7" w:themeFill="accent2" w:themeFillTint="66"/>
          </w:tcPr>
          <w:p w:rsidR="004B4926" w:rsidRPr="009120A2" w:rsidRDefault="004B4926" w:rsidP="00C8580F">
            <w:pPr>
              <w:contextualSpacing/>
              <w:jc w:val="center"/>
            </w:pPr>
            <w:r>
              <w:t>2.6 (3)</w:t>
            </w:r>
          </w:p>
        </w:tc>
        <w:tc>
          <w:tcPr>
            <w:tcW w:w="0" w:type="auto"/>
            <w:tcBorders>
              <w:bottom w:val="single" w:sz="4" w:space="0" w:color="auto"/>
            </w:tcBorders>
            <w:shd w:val="clear" w:color="auto" w:fill="E5B8B7" w:themeFill="accent2" w:themeFillTint="66"/>
          </w:tcPr>
          <w:p w:rsidR="004B4926" w:rsidRPr="009120A2" w:rsidRDefault="004B4926" w:rsidP="00C8580F">
            <w:pPr>
              <w:contextualSpacing/>
              <w:jc w:val="center"/>
            </w:pPr>
            <w:r>
              <w:t>3.9 (4)</w:t>
            </w:r>
          </w:p>
        </w:tc>
        <w:tc>
          <w:tcPr>
            <w:tcW w:w="0" w:type="auto"/>
            <w:tcBorders>
              <w:bottom w:val="single" w:sz="4" w:space="0" w:color="auto"/>
            </w:tcBorders>
            <w:shd w:val="clear" w:color="auto" w:fill="E5B8B7" w:themeFill="accent2" w:themeFillTint="66"/>
          </w:tcPr>
          <w:p w:rsidR="004B4926" w:rsidRPr="009120A2" w:rsidRDefault="004B4926" w:rsidP="00C8580F">
            <w:pPr>
              <w:contextualSpacing/>
              <w:jc w:val="center"/>
            </w:pPr>
            <w:r>
              <w:t>5.2 (5)</w:t>
            </w:r>
          </w:p>
        </w:tc>
        <w:tc>
          <w:tcPr>
            <w:tcW w:w="0" w:type="auto"/>
            <w:tcBorders>
              <w:bottom w:val="single" w:sz="4" w:space="0" w:color="auto"/>
            </w:tcBorders>
            <w:shd w:val="clear" w:color="auto" w:fill="E5B8B7" w:themeFill="accent2" w:themeFillTint="66"/>
          </w:tcPr>
          <w:p w:rsidR="004B4926" w:rsidRPr="009120A2" w:rsidRDefault="004B4926" w:rsidP="00C8580F">
            <w:pPr>
              <w:contextualSpacing/>
              <w:jc w:val="center"/>
            </w:pPr>
            <w:r w:rsidRPr="009E02F8">
              <w:t>5.2 (5)</w:t>
            </w:r>
          </w:p>
        </w:tc>
        <w:tc>
          <w:tcPr>
            <w:tcW w:w="0" w:type="auto"/>
            <w:tcBorders>
              <w:bottom w:val="single" w:sz="4" w:space="0" w:color="auto"/>
            </w:tcBorders>
            <w:shd w:val="clear" w:color="auto" w:fill="E5B8B7" w:themeFill="accent2" w:themeFillTint="66"/>
          </w:tcPr>
          <w:p w:rsidR="004B4926" w:rsidRPr="009120A2" w:rsidRDefault="004B4926" w:rsidP="00C8580F">
            <w:pPr>
              <w:contextualSpacing/>
              <w:jc w:val="center"/>
            </w:pPr>
            <w:r w:rsidRPr="009E02F8">
              <w:t>5.2 (5)</w:t>
            </w:r>
          </w:p>
        </w:tc>
      </w:tr>
      <w:tr w:rsidR="004B4926" w:rsidRPr="009610A4" w:rsidTr="00C8580F">
        <w:tc>
          <w:tcPr>
            <w:tcW w:w="0" w:type="auto"/>
            <w:shd w:val="pct25" w:color="auto" w:fill="auto"/>
          </w:tcPr>
          <w:p w:rsidR="004B4926" w:rsidRPr="00C870E2" w:rsidRDefault="004B4926" w:rsidP="00C8580F">
            <w:pPr>
              <w:contextualSpacing/>
              <w:rPr>
                <w:b/>
              </w:rPr>
            </w:pPr>
            <w:r>
              <w:rPr>
                <w:b/>
              </w:rPr>
              <w:t>Total 2015</w:t>
            </w:r>
            <w:r w:rsidR="00C8580F">
              <w:rPr>
                <w:b/>
              </w:rPr>
              <w:t xml:space="preserve"> (98)</w:t>
            </w:r>
          </w:p>
        </w:tc>
        <w:tc>
          <w:tcPr>
            <w:tcW w:w="0" w:type="auto"/>
            <w:shd w:val="clear" w:color="auto" w:fill="D6E3BC" w:themeFill="accent3" w:themeFillTint="66"/>
          </w:tcPr>
          <w:p w:rsidR="004B4926" w:rsidRPr="009610A4" w:rsidRDefault="004B4926" w:rsidP="00C8580F">
            <w:pPr>
              <w:contextualSpacing/>
              <w:jc w:val="center"/>
            </w:pPr>
            <w:r w:rsidRPr="009610A4">
              <w:t>4</w:t>
            </w:r>
          </w:p>
        </w:tc>
        <w:tc>
          <w:tcPr>
            <w:tcW w:w="0" w:type="auto"/>
            <w:shd w:val="clear" w:color="auto" w:fill="D6E3BC" w:themeFill="accent3" w:themeFillTint="66"/>
          </w:tcPr>
          <w:p w:rsidR="004B4926" w:rsidRPr="009610A4" w:rsidRDefault="004B4926" w:rsidP="00C8580F">
            <w:pPr>
              <w:contextualSpacing/>
              <w:jc w:val="center"/>
            </w:pPr>
            <w:r w:rsidRPr="009610A4">
              <w:t>7</w:t>
            </w:r>
          </w:p>
        </w:tc>
        <w:tc>
          <w:tcPr>
            <w:tcW w:w="0" w:type="auto"/>
            <w:shd w:val="clear" w:color="auto" w:fill="D6E3BC" w:themeFill="accent3" w:themeFillTint="66"/>
          </w:tcPr>
          <w:p w:rsidR="004B4926" w:rsidRPr="009610A4" w:rsidRDefault="004B4926" w:rsidP="00C8580F">
            <w:pPr>
              <w:contextualSpacing/>
              <w:jc w:val="center"/>
            </w:pPr>
            <w:r w:rsidRPr="009610A4">
              <w:t>10</w:t>
            </w:r>
          </w:p>
        </w:tc>
        <w:tc>
          <w:tcPr>
            <w:tcW w:w="0" w:type="auto"/>
            <w:shd w:val="clear" w:color="auto" w:fill="D6E3BC" w:themeFill="accent3" w:themeFillTint="66"/>
          </w:tcPr>
          <w:p w:rsidR="004B4926" w:rsidRPr="009610A4" w:rsidRDefault="004B4926" w:rsidP="00C8580F">
            <w:pPr>
              <w:contextualSpacing/>
              <w:jc w:val="center"/>
            </w:pPr>
            <w:r w:rsidRPr="009610A4">
              <w:t>13</w:t>
            </w:r>
          </w:p>
        </w:tc>
        <w:tc>
          <w:tcPr>
            <w:tcW w:w="0" w:type="auto"/>
            <w:shd w:val="clear" w:color="auto" w:fill="D6E3BC" w:themeFill="accent3" w:themeFillTint="66"/>
          </w:tcPr>
          <w:p w:rsidR="004B4926" w:rsidRPr="009610A4" w:rsidRDefault="004B4926" w:rsidP="00C8580F">
            <w:pPr>
              <w:contextualSpacing/>
              <w:jc w:val="center"/>
            </w:pPr>
            <w:r w:rsidRPr="009610A4">
              <w:t>13</w:t>
            </w:r>
          </w:p>
        </w:tc>
        <w:tc>
          <w:tcPr>
            <w:tcW w:w="0" w:type="auto"/>
            <w:shd w:val="clear" w:color="auto" w:fill="D6E3BC" w:themeFill="accent3" w:themeFillTint="66"/>
          </w:tcPr>
          <w:p w:rsidR="004B4926" w:rsidRPr="009610A4" w:rsidRDefault="004B4926" w:rsidP="00C8580F">
            <w:pPr>
              <w:contextualSpacing/>
              <w:jc w:val="center"/>
            </w:pPr>
            <w:r w:rsidRPr="009610A4">
              <w:t>13</w:t>
            </w:r>
          </w:p>
        </w:tc>
      </w:tr>
      <w:tr w:rsidR="004B4926" w:rsidRPr="009610A4" w:rsidTr="00C8580F">
        <w:tc>
          <w:tcPr>
            <w:tcW w:w="0" w:type="auto"/>
            <w:shd w:val="pct25" w:color="auto" w:fill="auto"/>
          </w:tcPr>
          <w:p w:rsidR="004B4926" w:rsidRPr="00C870E2" w:rsidRDefault="004B4926" w:rsidP="00C8580F">
            <w:pPr>
              <w:contextualSpacing/>
              <w:rPr>
                <w:b/>
              </w:rPr>
            </w:pPr>
            <w:r>
              <w:rPr>
                <w:b/>
              </w:rPr>
              <w:t>Total 95th</w:t>
            </w:r>
          </w:p>
        </w:tc>
        <w:tc>
          <w:tcPr>
            <w:tcW w:w="0" w:type="auto"/>
            <w:shd w:val="clear" w:color="auto" w:fill="D6E3BC" w:themeFill="accent3" w:themeFillTint="66"/>
          </w:tcPr>
          <w:p w:rsidR="004B4926" w:rsidRPr="009610A4" w:rsidRDefault="004B4926" w:rsidP="00C8580F">
            <w:pPr>
              <w:contextualSpacing/>
              <w:jc w:val="center"/>
            </w:pPr>
            <w:r>
              <w:t>2.6 (3)</w:t>
            </w:r>
          </w:p>
        </w:tc>
        <w:tc>
          <w:tcPr>
            <w:tcW w:w="0" w:type="auto"/>
            <w:shd w:val="clear" w:color="auto" w:fill="D6E3BC" w:themeFill="accent3" w:themeFillTint="66"/>
          </w:tcPr>
          <w:p w:rsidR="004B4926" w:rsidRPr="009610A4" w:rsidRDefault="004B4926" w:rsidP="00C8580F">
            <w:pPr>
              <w:contextualSpacing/>
              <w:jc w:val="center"/>
            </w:pPr>
            <w:r>
              <w:t>5.2 (5)</w:t>
            </w:r>
          </w:p>
        </w:tc>
        <w:tc>
          <w:tcPr>
            <w:tcW w:w="0" w:type="auto"/>
            <w:shd w:val="clear" w:color="auto" w:fill="D6E3BC" w:themeFill="accent3" w:themeFillTint="66"/>
          </w:tcPr>
          <w:p w:rsidR="004B4926" w:rsidRPr="009610A4" w:rsidRDefault="004B4926" w:rsidP="00C8580F">
            <w:pPr>
              <w:contextualSpacing/>
              <w:jc w:val="center"/>
            </w:pPr>
            <w:r>
              <w:t>7.8 (8)</w:t>
            </w:r>
          </w:p>
        </w:tc>
        <w:tc>
          <w:tcPr>
            <w:tcW w:w="0" w:type="auto"/>
            <w:shd w:val="clear" w:color="auto" w:fill="D6E3BC" w:themeFill="accent3" w:themeFillTint="66"/>
          </w:tcPr>
          <w:p w:rsidR="004B4926" w:rsidRPr="009610A4" w:rsidRDefault="004B4926" w:rsidP="00C8580F">
            <w:pPr>
              <w:contextualSpacing/>
              <w:jc w:val="center"/>
            </w:pPr>
            <w:r>
              <w:t>10.4 (10)</w:t>
            </w:r>
          </w:p>
        </w:tc>
        <w:tc>
          <w:tcPr>
            <w:tcW w:w="0" w:type="auto"/>
            <w:shd w:val="clear" w:color="auto" w:fill="D6E3BC" w:themeFill="accent3" w:themeFillTint="66"/>
          </w:tcPr>
          <w:p w:rsidR="004B4926" w:rsidRPr="009610A4" w:rsidRDefault="004B4926" w:rsidP="00C8580F">
            <w:pPr>
              <w:contextualSpacing/>
              <w:jc w:val="center"/>
            </w:pPr>
            <w:r w:rsidRPr="00462032">
              <w:t>10.4 (10)</w:t>
            </w:r>
          </w:p>
        </w:tc>
        <w:tc>
          <w:tcPr>
            <w:tcW w:w="0" w:type="auto"/>
            <w:shd w:val="clear" w:color="auto" w:fill="D6E3BC" w:themeFill="accent3" w:themeFillTint="66"/>
          </w:tcPr>
          <w:p w:rsidR="004B4926" w:rsidRPr="009610A4" w:rsidRDefault="004B4926" w:rsidP="00C8580F">
            <w:pPr>
              <w:contextualSpacing/>
              <w:jc w:val="center"/>
            </w:pPr>
            <w:r w:rsidRPr="00462032">
              <w:t>10.4 (10)</w:t>
            </w:r>
          </w:p>
        </w:tc>
      </w:tr>
      <w:tr w:rsidR="004B4926" w:rsidRPr="009610A4" w:rsidTr="00C8580F">
        <w:tc>
          <w:tcPr>
            <w:tcW w:w="0" w:type="auto"/>
            <w:shd w:val="pct25" w:color="auto" w:fill="auto"/>
          </w:tcPr>
          <w:p w:rsidR="004B4926" w:rsidRPr="00C870E2" w:rsidRDefault="004B4926" w:rsidP="00C8580F">
            <w:pPr>
              <w:contextualSpacing/>
              <w:rPr>
                <w:b/>
              </w:rPr>
            </w:pPr>
            <w:r w:rsidRPr="00C870E2">
              <w:rPr>
                <w:b/>
              </w:rPr>
              <w:t>Total</w:t>
            </w:r>
            <w:r>
              <w:rPr>
                <w:b/>
              </w:rPr>
              <w:t xml:space="preserve"> 98th</w:t>
            </w:r>
          </w:p>
        </w:tc>
        <w:tc>
          <w:tcPr>
            <w:tcW w:w="0" w:type="auto"/>
            <w:shd w:val="clear" w:color="auto" w:fill="D6E3BC" w:themeFill="accent3" w:themeFillTint="66"/>
          </w:tcPr>
          <w:p w:rsidR="004B4926" w:rsidRPr="009610A4" w:rsidRDefault="004B4926" w:rsidP="00C8580F">
            <w:pPr>
              <w:contextualSpacing/>
              <w:jc w:val="center"/>
            </w:pPr>
            <w:r>
              <w:t>3.0 (3)</w:t>
            </w:r>
          </w:p>
        </w:tc>
        <w:tc>
          <w:tcPr>
            <w:tcW w:w="0" w:type="auto"/>
            <w:shd w:val="clear" w:color="auto" w:fill="D6E3BC" w:themeFill="accent3" w:themeFillTint="66"/>
          </w:tcPr>
          <w:p w:rsidR="004B4926" w:rsidRPr="009610A4" w:rsidRDefault="004B4926" w:rsidP="00C8580F">
            <w:pPr>
              <w:contextualSpacing/>
              <w:jc w:val="center"/>
            </w:pPr>
            <w:r>
              <w:t>6.0 (6)</w:t>
            </w:r>
          </w:p>
        </w:tc>
        <w:tc>
          <w:tcPr>
            <w:tcW w:w="0" w:type="auto"/>
            <w:shd w:val="clear" w:color="auto" w:fill="D6E3BC" w:themeFill="accent3" w:themeFillTint="66"/>
          </w:tcPr>
          <w:p w:rsidR="004B4926" w:rsidRPr="009610A4" w:rsidRDefault="004B4926" w:rsidP="00C8580F">
            <w:pPr>
              <w:contextualSpacing/>
              <w:jc w:val="center"/>
            </w:pPr>
            <w:r>
              <w:t>9.0 (9)</w:t>
            </w:r>
          </w:p>
        </w:tc>
        <w:tc>
          <w:tcPr>
            <w:tcW w:w="0" w:type="auto"/>
            <w:shd w:val="clear" w:color="auto" w:fill="D6E3BC" w:themeFill="accent3" w:themeFillTint="66"/>
          </w:tcPr>
          <w:p w:rsidR="004B4926" w:rsidRPr="009610A4" w:rsidRDefault="004B4926" w:rsidP="00C8580F">
            <w:pPr>
              <w:contextualSpacing/>
              <w:jc w:val="center"/>
            </w:pPr>
            <w:r>
              <w:t>12.0 (12)</w:t>
            </w:r>
          </w:p>
        </w:tc>
        <w:tc>
          <w:tcPr>
            <w:tcW w:w="0" w:type="auto"/>
            <w:shd w:val="clear" w:color="auto" w:fill="D6E3BC" w:themeFill="accent3" w:themeFillTint="66"/>
          </w:tcPr>
          <w:p w:rsidR="004B4926" w:rsidRPr="009610A4" w:rsidRDefault="004B4926" w:rsidP="00C8580F">
            <w:pPr>
              <w:contextualSpacing/>
              <w:jc w:val="center"/>
            </w:pPr>
            <w:r w:rsidRPr="008C7EF5">
              <w:t>12.0 (12)</w:t>
            </w:r>
          </w:p>
        </w:tc>
        <w:tc>
          <w:tcPr>
            <w:tcW w:w="0" w:type="auto"/>
            <w:shd w:val="clear" w:color="auto" w:fill="D6E3BC" w:themeFill="accent3" w:themeFillTint="66"/>
          </w:tcPr>
          <w:p w:rsidR="004B4926" w:rsidRPr="009610A4" w:rsidRDefault="004B4926" w:rsidP="00C8580F">
            <w:pPr>
              <w:contextualSpacing/>
              <w:jc w:val="center"/>
            </w:pPr>
            <w:r w:rsidRPr="008C7EF5">
              <w:t>12.0 (12)</w:t>
            </w:r>
          </w:p>
        </w:tc>
      </w:tr>
    </w:tbl>
    <w:p w:rsidR="00941507" w:rsidRDefault="00941507" w:rsidP="00941507">
      <w:pPr>
        <w:spacing w:after="0"/>
        <w:ind w:left="720"/>
      </w:pPr>
    </w:p>
    <w:p w:rsidR="00941507" w:rsidRDefault="00EB71DD" w:rsidP="00941507">
      <w:pPr>
        <w:spacing w:after="0"/>
        <w:ind w:left="720"/>
      </w:pPr>
      <w:r>
        <w:t>The vote on the 2016 audit failure criteria:</w:t>
      </w:r>
    </w:p>
    <w:p w:rsidR="00941507" w:rsidRDefault="00941507" w:rsidP="00941507">
      <w:pPr>
        <w:spacing w:after="0"/>
        <w:ind w:left="720"/>
      </w:pPr>
    </w:p>
    <w:p w:rsidR="00CF5C1C" w:rsidRDefault="00941507" w:rsidP="00CF5C1C">
      <w:pPr>
        <w:spacing w:after="0"/>
        <w:ind w:left="720"/>
      </w:pPr>
      <w:r w:rsidRPr="009610A4">
        <w:t>Initial Audits:</w:t>
      </w:r>
      <w:r w:rsidR="00CF5C1C" w:rsidRPr="00CF5C1C">
        <w:t xml:space="preserve"> </w:t>
      </w:r>
      <w:r w:rsidR="00CF5C1C">
        <w:t xml:space="preserve">Motion made by Michael </w:t>
      </w:r>
      <w:proofErr w:type="spellStart"/>
      <w:r w:rsidR="00CF5C1C">
        <w:t>Vostaka</w:t>
      </w:r>
      <w:proofErr w:type="spellEnd"/>
      <w:r w:rsidR="00CF5C1C">
        <w:t xml:space="preserve"> and seconded by Hal Abel to leave the criteria as is due to the implementation of the new checklists. </w:t>
      </w:r>
      <w:r w:rsidR="001C150A">
        <w:t>Motion Passed.</w:t>
      </w:r>
    </w:p>
    <w:p w:rsidR="00941507" w:rsidRPr="009610A4" w:rsidRDefault="00941507" w:rsidP="00941507">
      <w:pPr>
        <w:spacing w:after="0"/>
        <w:ind w:left="720"/>
      </w:pPr>
    </w:p>
    <w:p w:rsidR="00CF5C1C" w:rsidRDefault="00941507" w:rsidP="00CF5C1C">
      <w:pPr>
        <w:spacing w:after="0"/>
        <w:ind w:left="720"/>
      </w:pPr>
      <w:r w:rsidRPr="009610A4">
        <w:t>Re-Accreditation Audits:</w:t>
      </w:r>
      <w:r w:rsidR="00CF5C1C">
        <w:t xml:space="preserve"> </w:t>
      </w:r>
      <w:r w:rsidR="005B476D">
        <w:t>Motion made by Michael Vos</w:t>
      </w:r>
      <w:r w:rsidR="00CF5C1C">
        <w:t>a</w:t>
      </w:r>
      <w:r w:rsidR="005B476D">
        <w:t>t</w:t>
      </w:r>
      <w:r w:rsidR="00CF5C1C">
        <w:t xml:space="preserve">ka and seconded by Susan Lewis to leave the criteria as is due to the implementation of the new checklists. </w:t>
      </w:r>
      <w:r w:rsidR="001C150A">
        <w:t>Motion Passed.</w:t>
      </w:r>
    </w:p>
    <w:p w:rsidR="00CF5C1C" w:rsidRPr="009610A4" w:rsidRDefault="00CF5C1C" w:rsidP="00CF5C1C">
      <w:pPr>
        <w:spacing w:after="0"/>
      </w:pPr>
    </w:p>
    <w:p w:rsidR="00941507" w:rsidRPr="009610A4" w:rsidRDefault="00941507" w:rsidP="00941507">
      <w:pPr>
        <w:ind w:left="720"/>
        <w:contextualSpacing/>
      </w:pPr>
    </w:p>
    <w:p w:rsidR="00C8580F" w:rsidRDefault="00535123" w:rsidP="00C8580F">
      <w:pPr>
        <w:keepLines/>
        <w:rPr>
          <w:b/>
          <w:i/>
        </w:rPr>
      </w:pPr>
      <w:r>
        <w:rPr>
          <w:b/>
          <w:i/>
        </w:rPr>
        <w:t>ACTION ITEM</w:t>
      </w:r>
      <w:r w:rsidR="00941507" w:rsidRPr="009610A4">
        <w:rPr>
          <w:b/>
          <w:i/>
        </w:rPr>
        <w:t>: Nigel Cook to provide Mike</w:t>
      </w:r>
      <w:r w:rsidR="00C8580F">
        <w:rPr>
          <w:b/>
          <w:i/>
        </w:rPr>
        <w:t xml:space="preserve"> </w:t>
      </w:r>
      <w:r w:rsidR="00C8580F" w:rsidRPr="009610A4">
        <w:rPr>
          <w:b/>
          <w:i/>
        </w:rPr>
        <w:t xml:space="preserve">Graham the CPTG Mode B failure criteria for inclusion in </w:t>
      </w:r>
      <w:r w:rsidR="00C8580F">
        <w:rPr>
          <w:b/>
          <w:i/>
        </w:rPr>
        <w:t>OP 1110</w:t>
      </w:r>
      <w:r w:rsidR="00191DD4">
        <w:rPr>
          <w:b/>
          <w:i/>
        </w:rPr>
        <w:t xml:space="preserve">. </w:t>
      </w:r>
      <w:r w:rsidR="00C8580F" w:rsidRPr="009610A4">
        <w:rPr>
          <w:b/>
          <w:i/>
        </w:rPr>
        <w:t xml:space="preserve">(Due Date: </w:t>
      </w:r>
      <w:r w:rsidR="00C8580F">
        <w:rPr>
          <w:b/>
          <w:i/>
        </w:rPr>
        <w:t>15</w:t>
      </w:r>
      <w:r w:rsidR="00C8580F" w:rsidRPr="009610A4">
        <w:rPr>
          <w:b/>
          <w:i/>
        </w:rPr>
        <w:t>-Mar-201</w:t>
      </w:r>
      <w:r w:rsidR="00C8580F">
        <w:rPr>
          <w:b/>
          <w:i/>
        </w:rPr>
        <w:t>6</w:t>
      </w:r>
      <w:r w:rsidR="00C8580F" w:rsidRPr="009610A4">
        <w:rPr>
          <w:b/>
          <w:i/>
        </w:rPr>
        <w:t>)</w:t>
      </w:r>
    </w:p>
    <w:p w:rsidR="009610A4" w:rsidRDefault="00246608"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any other business</w:t>
      </w:r>
      <w:r w:rsidR="009610A4" w:rsidRPr="009610A4">
        <w:rPr>
          <w:rFonts w:eastAsiaTheme="majorEastAsia" w:cstheme="majorBidi"/>
          <w:b/>
          <w:bCs/>
          <w:caps/>
          <w:szCs w:val="28"/>
        </w:rPr>
        <w:t xml:space="preserve"> – OPEN </w:t>
      </w:r>
    </w:p>
    <w:p w:rsidR="00CB1A76" w:rsidRDefault="00CB1A76" w:rsidP="00CB1A76">
      <w:pPr>
        <w:pStyle w:val="Body"/>
      </w:pPr>
      <w:r w:rsidRPr="00C166DF">
        <w:rPr>
          <w:b/>
        </w:rPr>
        <w:t>Approval of Audit Handbook Changes</w:t>
      </w:r>
      <w:r w:rsidRPr="00CB1A76">
        <w:rPr>
          <w:b/>
        </w:rPr>
        <w:t>:</w:t>
      </w:r>
      <w:r>
        <w:t xml:space="preserve"> Nigel Cook presented the changes to the CP Audit Handbook.</w:t>
      </w:r>
    </w:p>
    <w:p w:rsidR="00CB1A76" w:rsidRDefault="00CB1A76" w:rsidP="00CB1A76">
      <w:pPr>
        <w:ind w:left="720"/>
      </w:pPr>
      <w:r w:rsidRPr="009610A4">
        <w:t xml:space="preserve">Motion made by </w:t>
      </w:r>
      <w:r w:rsidR="000231C4">
        <w:t>Karyn Deming</w:t>
      </w:r>
      <w:r w:rsidRPr="009610A4">
        <w:t xml:space="preserve"> and seconded by </w:t>
      </w:r>
      <w:r w:rsidR="000231C4">
        <w:t>Susan Lewis</w:t>
      </w:r>
      <w:r>
        <w:t xml:space="preserve"> </w:t>
      </w:r>
      <w:r w:rsidRPr="009610A4">
        <w:t xml:space="preserve">to approve the </w:t>
      </w:r>
      <w:r>
        <w:t>changes to the CP Audit Handbook</w:t>
      </w:r>
      <w:r w:rsidR="000231C4">
        <w:t xml:space="preserve"> and for change of AC7108/3 para 5.7.8</w:t>
      </w:r>
      <w:r w:rsidRPr="009610A4">
        <w:t xml:space="preserve">. </w:t>
      </w:r>
      <w:r w:rsidR="001C150A">
        <w:t>Motion passed.</w:t>
      </w:r>
    </w:p>
    <w:p w:rsidR="00CB1A76" w:rsidRDefault="00535123" w:rsidP="00CB1A76">
      <w:pPr>
        <w:keepLines/>
        <w:rPr>
          <w:b/>
          <w:i/>
        </w:rPr>
      </w:pPr>
      <w:r>
        <w:rPr>
          <w:b/>
          <w:i/>
        </w:rPr>
        <w:t>ACTION ITEM</w:t>
      </w:r>
      <w:r w:rsidR="00CB1A76" w:rsidRPr="009610A4">
        <w:rPr>
          <w:b/>
          <w:i/>
        </w:rPr>
        <w:t xml:space="preserve">: Nigel Cook to </w:t>
      </w:r>
      <w:r w:rsidR="00CB1A76">
        <w:rPr>
          <w:b/>
          <w:i/>
        </w:rPr>
        <w:t>issue the amended CP Audit Handbook</w:t>
      </w:r>
      <w:r w:rsidR="00191DD4">
        <w:rPr>
          <w:b/>
          <w:i/>
        </w:rPr>
        <w:t xml:space="preserve">. </w:t>
      </w:r>
      <w:r w:rsidR="00CB1A76" w:rsidRPr="009610A4">
        <w:rPr>
          <w:b/>
          <w:i/>
        </w:rPr>
        <w:t xml:space="preserve">(Due Date: </w:t>
      </w:r>
      <w:r w:rsidR="00CB1A76">
        <w:rPr>
          <w:b/>
          <w:i/>
        </w:rPr>
        <w:t>15</w:t>
      </w:r>
      <w:r w:rsidR="00CB1A76" w:rsidRPr="009610A4">
        <w:rPr>
          <w:b/>
          <w:i/>
        </w:rPr>
        <w:t>-Mar-201</w:t>
      </w:r>
      <w:r w:rsidR="00CB1A76">
        <w:rPr>
          <w:b/>
          <w:i/>
        </w:rPr>
        <w:t>6</w:t>
      </w:r>
      <w:r w:rsidR="00CB1A76" w:rsidRPr="009610A4">
        <w:rPr>
          <w:b/>
          <w:i/>
        </w:rPr>
        <w:t>)</w:t>
      </w:r>
    </w:p>
    <w:p w:rsidR="00CB1A76" w:rsidRDefault="00CB1A76" w:rsidP="00CB1A76">
      <w:pPr>
        <w:pStyle w:val="Body"/>
      </w:pPr>
      <w:r w:rsidRPr="00C166DF">
        <w:rPr>
          <w:b/>
        </w:rPr>
        <w:t>Approval of Audit Review Guideline Changes</w:t>
      </w:r>
      <w:r w:rsidRPr="00CB1A76">
        <w:rPr>
          <w:b/>
        </w:rPr>
        <w:t>:</w:t>
      </w:r>
      <w:r>
        <w:t xml:space="preserve"> Nigel Cook presented the changes to the CP Audit Review Guidelines.</w:t>
      </w:r>
    </w:p>
    <w:p w:rsidR="00CB1A76" w:rsidRDefault="00CB1A76" w:rsidP="00CB1A76">
      <w:pPr>
        <w:ind w:left="720"/>
      </w:pPr>
      <w:r w:rsidRPr="009610A4">
        <w:t xml:space="preserve">Motion made by </w:t>
      </w:r>
      <w:r w:rsidR="00CC4C52">
        <w:t>Zia Usmani</w:t>
      </w:r>
      <w:r w:rsidRPr="009610A4">
        <w:t xml:space="preserve"> and seconded by </w:t>
      </w:r>
      <w:r w:rsidR="00CC4C52">
        <w:t>Steve Starr</w:t>
      </w:r>
      <w:r>
        <w:t xml:space="preserve"> </w:t>
      </w:r>
      <w:r w:rsidRPr="009610A4">
        <w:t xml:space="preserve">to approve the </w:t>
      </w:r>
      <w:r>
        <w:t>changes to the CP Audit Review Guidelines</w:t>
      </w:r>
      <w:r w:rsidRPr="009610A4">
        <w:t xml:space="preserve">. </w:t>
      </w:r>
      <w:r w:rsidR="001C150A">
        <w:t>Motion passed.</w:t>
      </w:r>
    </w:p>
    <w:p w:rsidR="00CB1A76" w:rsidRDefault="00535123" w:rsidP="00CB1A76">
      <w:pPr>
        <w:keepLines/>
        <w:rPr>
          <w:b/>
          <w:i/>
        </w:rPr>
      </w:pPr>
      <w:r>
        <w:rPr>
          <w:b/>
          <w:i/>
        </w:rPr>
        <w:t>ACTION ITEM</w:t>
      </w:r>
      <w:r w:rsidR="00CB1A76" w:rsidRPr="009610A4">
        <w:rPr>
          <w:b/>
          <w:i/>
        </w:rPr>
        <w:t xml:space="preserve">: Nigel Cook to </w:t>
      </w:r>
      <w:r w:rsidR="00CB1A76">
        <w:rPr>
          <w:b/>
          <w:i/>
        </w:rPr>
        <w:t xml:space="preserve">issue the amended CP </w:t>
      </w:r>
      <w:r w:rsidR="00CB1A76" w:rsidRPr="00CB1A76">
        <w:rPr>
          <w:b/>
          <w:i/>
        </w:rPr>
        <w:t>Audit Review Guidelines</w:t>
      </w:r>
      <w:r w:rsidR="00CB1A76" w:rsidRPr="009610A4">
        <w:rPr>
          <w:b/>
          <w:i/>
        </w:rPr>
        <w:t xml:space="preserve">. (Due Date: </w:t>
      </w:r>
      <w:r w:rsidR="00CB1A76">
        <w:rPr>
          <w:b/>
          <w:i/>
        </w:rPr>
        <w:t>15</w:t>
      </w:r>
      <w:r w:rsidR="00CB1A76" w:rsidRPr="009610A4">
        <w:rPr>
          <w:b/>
          <w:i/>
        </w:rPr>
        <w:t>-Mar-201</w:t>
      </w:r>
      <w:r w:rsidR="00CB1A76">
        <w:rPr>
          <w:b/>
          <w:i/>
        </w:rPr>
        <w:t>6</w:t>
      </w:r>
      <w:r w:rsidR="00CB1A76" w:rsidRPr="009610A4">
        <w:rPr>
          <w:b/>
          <w:i/>
        </w:rPr>
        <w:t>)</w:t>
      </w:r>
    </w:p>
    <w:p w:rsidR="00CB1A76" w:rsidRDefault="00CB1A76" w:rsidP="00CB1A76">
      <w:pPr>
        <w:pStyle w:val="Body"/>
      </w:pPr>
      <w:r w:rsidRPr="00C166DF">
        <w:rPr>
          <w:b/>
        </w:rPr>
        <w:t>OP 1114 App CP</w:t>
      </w:r>
      <w:r w:rsidRPr="00BB55D0">
        <w:rPr>
          <w:b/>
        </w:rPr>
        <w:t>:</w:t>
      </w:r>
      <w:r>
        <w:t xml:space="preserve"> Nigel Cook presented the changes to OP 1114 App CP. There are some editorial changes to address the checklist strategic plan and the addition of requirements to address how audits are handled when</w:t>
      </w:r>
      <w:r w:rsidR="00BB55D0">
        <w:t xml:space="preserve"> for some reason or other the auditor fails to audit a technology in the scope of an audit.</w:t>
      </w:r>
      <w:r>
        <w:t xml:space="preserve"> </w:t>
      </w:r>
      <w:r w:rsidR="00BB55D0">
        <w:t xml:space="preserve">In a recent audit this was done by conducting a desk top </w:t>
      </w:r>
      <w:r w:rsidR="00BB55D0">
        <w:lastRenderedPageBreak/>
        <w:t>audit at PRI Headquarters which is not a</w:t>
      </w:r>
      <w:r w:rsidR="007E1960">
        <w:t xml:space="preserve"> </w:t>
      </w:r>
      <w:r w:rsidR="00BB55D0">
        <w:t>defined method of audit. The present audit system used by the CPTG is on site only.</w:t>
      </w:r>
    </w:p>
    <w:p w:rsidR="00BB55D0" w:rsidRDefault="00535123" w:rsidP="00BB55D0">
      <w:pPr>
        <w:keepLines/>
        <w:rPr>
          <w:b/>
          <w:i/>
        </w:rPr>
      </w:pPr>
      <w:r>
        <w:rPr>
          <w:b/>
          <w:i/>
        </w:rPr>
        <w:t>ACTION ITEM</w:t>
      </w:r>
      <w:r w:rsidR="00BB55D0" w:rsidRPr="009610A4">
        <w:rPr>
          <w:b/>
          <w:i/>
        </w:rPr>
        <w:t xml:space="preserve">: Nigel Cook to </w:t>
      </w:r>
      <w:r w:rsidR="00BB55D0">
        <w:rPr>
          <w:b/>
          <w:i/>
        </w:rPr>
        <w:t>ballot OP1114 App CP</w:t>
      </w:r>
      <w:r w:rsidR="00BB55D0" w:rsidRPr="009610A4">
        <w:rPr>
          <w:b/>
          <w:i/>
        </w:rPr>
        <w:t xml:space="preserve">. (Due Date: </w:t>
      </w:r>
      <w:r w:rsidR="00BB55D0">
        <w:rPr>
          <w:b/>
          <w:i/>
        </w:rPr>
        <w:t>15</w:t>
      </w:r>
      <w:r w:rsidR="00BB55D0" w:rsidRPr="009610A4">
        <w:rPr>
          <w:b/>
          <w:i/>
        </w:rPr>
        <w:t>-Mar-201</w:t>
      </w:r>
      <w:r w:rsidR="00BB55D0">
        <w:rPr>
          <w:b/>
          <w:i/>
        </w:rPr>
        <w:t>6</w:t>
      </w:r>
      <w:r w:rsidR="00BB55D0" w:rsidRPr="009610A4">
        <w:rPr>
          <w:b/>
          <w:i/>
        </w:rPr>
        <w:t>)</w:t>
      </w:r>
    </w:p>
    <w:p w:rsidR="00820D76" w:rsidRDefault="00F2370E" w:rsidP="00820D76">
      <w:pPr>
        <w:pStyle w:val="Body"/>
      </w:pPr>
      <w:r w:rsidRPr="00C166DF">
        <w:rPr>
          <w:b/>
        </w:rPr>
        <w:t>OP 1116 App CP</w:t>
      </w:r>
      <w:r w:rsidRPr="00BB55D0">
        <w:rPr>
          <w:b/>
        </w:rPr>
        <w:t>:</w:t>
      </w:r>
      <w:r>
        <w:t xml:space="preserve"> Nigel Cook presented the changes to OP 1116 App CP. Th</w:t>
      </w:r>
      <w:r w:rsidR="00820D76">
        <w:t>e base OP1116 has changed and required amendment of our document.</w:t>
      </w:r>
    </w:p>
    <w:p w:rsidR="00C166DF" w:rsidRDefault="00535123" w:rsidP="00C166DF">
      <w:pPr>
        <w:keepLines/>
        <w:rPr>
          <w:b/>
          <w:i/>
        </w:rPr>
      </w:pPr>
      <w:r>
        <w:rPr>
          <w:b/>
          <w:i/>
        </w:rPr>
        <w:t>ACTION ITEM</w:t>
      </w:r>
      <w:r w:rsidR="00C166DF" w:rsidRPr="009610A4">
        <w:rPr>
          <w:b/>
          <w:i/>
        </w:rPr>
        <w:t xml:space="preserve">: Nigel Cook to </w:t>
      </w:r>
      <w:r w:rsidR="00C166DF">
        <w:rPr>
          <w:b/>
          <w:i/>
        </w:rPr>
        <w:t>ballot OP1116 App CP</w:t>
      </w:r>
      <w:r w:rsidR="00C166DF" w:rsidRPr="009610A4">
        <w:rPr>
          <w:b/>
          <w:i/>
        </w:rPr>
        <w:t xml:space="preserve">. (Due Date: </w:t>
      </w:r>
      <w:r w:rsidR="00C166DF">
        <w:rPr>
          <w:b/>
          <w:i/>
        </w:rPr>
        <w:t>15</w:t>
      </w:r>
      <w:r w:rsidR="00C166DF" w:rsidRPr="009610A4">
        <w:rPr>
          <w:b/>
          <w:i/>
        </w:rPr>
        <w:t>-Mar-201</w:t>
      </w:r>
      <w:r w:rsidR="00C166DF">
        <w:rPr>
          <w:b/>
          <w:i/>
        </w:rPr>
        <w:t>6</w:t>
      </w:r>
      <w:r w:rsidR="00C166DF" w:rsidRPr="009610A4">
        <w:rPr>
          <w:b/>
          <w:i/>
        </w:rPr>
        <w:t>)</w:t>
      </w:r>
    </w:p>
    <w:p w:rsidR="00FD7859" w:rsidRDefault="00FD7859" w:rsidP="00820D76">
      <w:pPr>
        <w:pStyle w:val="Body"/>
      </w:pPr>
      <w:r>
        <w:t xml:space="preserve">Motion made by Hal Abel and seconded by Mike </w:t>
      </w:r>
      <w:proofErr w:type="spellStart"/>
      <w:r>
        <w:t>Noettl</w:t>
      </w:r>
      <w:proofErr w:type="spellEnd"/>
      <w:r>
        <w:t xml:space="preserve"> to create a sub-team to review the proficiency exams and assess the need to sub-categorize and apply pass criteria based on the sub-categories. </w:t>
      </w:r>
      <w:r w:rsidR="007639EE">
        <w:t>Motion Passed.</w:t>
      </w:r>
    </w:p>
    <w:p w:rsidR="00FD7859" w:rsidRDefault="00FD7859" w:rsidP="00820D76">
      <w:pPr>
        <w:pStyle w:val="Body"/>
      </w:pPr>
      <w:r>
        <w:t xml:space="preserve">Sub-Team: Hal Abel (Lead), Steve Starr, Mike </w:t>
      </w:r>
      <w:proofErr w:type="spellStart"/>
      <w:r>
        <w:t>Noettl</w:t>
      </w:r>
      <w:proofErr w:type="spellEnd"/>
      <w:r>
        <w:t xml:space="preserve">, Mike Coleman, Zia Usmani, Barry </w:t>
      </w:r>
      <w:proofErr w:type="spellStart"/>
      <w:r>
        <w:t>Snitzer</w:t>
      </w:r>
      <w:proofErr w:type="spellEnd"/>
      <w:r>
        <w:t>, Susan, Lewis, Phil Brockman, Daniel Backus, Veronique Marcel.</w:t>
      </w:r>
    </w:p>
    <w:p w:rsidR="00C166DF" w:rsidRDefault="00535123" w:rsidP="00C166DF">
      <w:pPr>
        <w:keepLines/>
        <w:rPr>
          <w:b/>
          <w:i/>
        </w:rPr>
      </w:pPr>
      <w:r>
        <w:rPr>
          <w:b/>
          <w:i/>
        </w:rPr>
        <w:t>ACTION ITEM</w:t>
      </w:r>
      <w:r w:rsidR="00C166DF" w:rsidRPr="009610A4">
        <w:rPr>
          <w:b/>
          <w:i/>
        </w:rPr>
        <w:t xml:space="preserve">: </w:t>
      </w:r>
      <w:r w:rsidR="00C166DF">
        <w:rPr>
          <w:b/>
          <w:i/>
        </w:rPr>
        <w:t>A sub-team of</w:t>
      </w:r>
      <w:r w:rsidR="00C166DF" w:rsidRPr="00C166DF">
        <w:t xml:space="preserve"> </w:t>
      </w:r>
      <w:r w:rsidR="00C166DF" w:rsidRPr="00C166DF">
        <w:rPr>
          <w:b/>
          <w:i/>
        </w:rPr>
        <w:t xml:space="preserve">Hal Abel (Lead), Steve Starr, Mike </w:t>
      </w:r>
      <w:proofErr w:type="spellStart"/>
      <w:r w:rsidR="00C166DF" w:rsidRPr="00C166DF">
        <w:rPr>
          <w:b/>
          <w:i/>
        </w:rPr>
        <w:t>Noettl</w:t>
      </w:r>
      <w:proofErr w:type="spellEnd"/>
      <w:r w:rsidR="00C166DF" w:rsidRPr="00C166DF">
        <w:rPr>
          <w:b/>
          <w:i/>
        </w:rPr>
        <w:t xml:space="preserve">, Mike Coleman, Zia Usmani, Barry </w:t>
      </w:r>
      <w:proofErr w:type="spellStart"/>
      <w:r w:rsidR="00C166DF" w:rsidRPr="00C166DF">
        <w:rPr>
          <w:b/>
          <w:i/>
        </w:rPr>
        <w:t>Snitzer</w:t>
      </w:r>
      <w:proofErr w:type="spellEnd"/>
      <w:r w:rsidR="00C166DF" w:rsidRPr="00C166DF">
        <w:rPr>
          <w:b/>
          <w:i/>
        </w:rPr>
        <w:t>, Susan Lewis, Phil Brockman, Daniel Backus, Veronique Marcel</w:t>
      </w:r>
      <w:r w:rsidR="00C166DF">
        <w:rPr>
          <w:b/>
          <w:i/>
        </w:rPr>
        <w:t xml:space="preserve">, Ethan Akins was appointed to </w:t>
      </w:r>
      <w:r w:rsidR="00C166DF" w:rsidRPr="00C166DF">
        <w:rPr>
          <w:b/>
          <w:i/>
        </w:rPr>
        <w:t>review the proficiency exams and assess the need to sub-categorize and apply pass criteria based on the sub-categories</w:t>
      </w:r>
      <w:r w:rsidR="00191DD4">
        <w:rPr>
          <w:b/>
          <w:i/>
        </w:rPr>
        <w:t xml:space="preserve">. </w:t>
      </w:r>
      <w:r w:rsidR="00C166DF" w:rsidRPr="009610A4">
        <w:rPr>
          <w:b/>
          <w:i/>
        </w:rPr>
        <w:t xml:space="preserve">(Due Date: </w:t>
      </w:r>
      <w:r w:rsidR="00C166DF">
        <w:rPr>
          <w:b/>
          <w:i/>
        </w:rPr>
        <w:t>20</w:t>
      </w:r>
      <w:r w:rsidR="00C166DF" w:rsidRPr="009610A4">
        <w:rPr>
          <w:b/>
          <w:i/>
        </w:rPr>
        <w:t>-</w:t>
      </w:r>
      <w:r w:rsidR="00C166DF">
        <w:rPr>
          <w:b/>
          <w:i/>
        </w:rPr>
        <w:t>Jun</w:t>
      </w:r>
      <w:r w:rsidR="00C166DF" w:rsidRPr="009610A4">
        <w:rPr>
          <w:b/>
          <w:i/>
        </w:rPr>
        <w:t>-201</w:t>
      </w:r>
      <w:r w:rsidR="00C166DF">
        <w:rPr>
          <w:b/>
          <w:i/>
        </w:rPr>
        <w:t>6</w:t>
      </w:r>
      <w:r w:rsidR="00C166DF" w:rsidRPr="009610A4">
        <w:rPr>
          <w:b/>
          <w:i/>
        </w:rPr>
        <w:t>)</w:t>
      </w:r>
    </w:p>
    <w:p w:rsidR="00CB1A76" w:rsidRDefault="00CB1A76" w:rsidP="00CB1A76">
      <w:pPr>
        <w:pStyle w:val="Body"/>
      </w:pPr>
      <w:r w:rsidRPr="00BB55D0">
        <w:rPr>
          <w:b/>
        </w:rPr>
        <w:t>AMS2700 Test Water Purity</w:t>
      </w:r>
      <w:r w:rsidR="00BB55D0" w:rsidRPr="00BB55D0">
        <w:rPr>
          <w:b/>
        </w:rPr>
        <w:t>:</w:t>
      </w:r>
      <w:r w:rsidR="00BB55D0">
        <w:t xml:space="preserve"> Mike </w:t>
      </w:r>
      <w:proofErr w:type="spellStart"/>
      <w:r w:rsidR="00BB55D0">
        <w:t>Noettl</w:t>
      </w:r>
      <w:proofErr w:type="spellEnd"/>
      <w:r w:rsidR="00BB55D0">
        <w:t xml:space="preserve"> updated the Task Group on the status of the test water requirements for AMS2700.</w:t>
      </w:r>
      <w:r w:rsidR="00866A52">
        <w:t xml:space="preserve"> Committee B have been approached and are meeting next month.</w:t>
      </w:r>
    </w:p>
    <w:p w:rsidR="00CB1A76" w:rsidRDefault="00CB1A76" w:rsidP="00CB1A76">
      <w:pPr>
        <w:pStyle w:val="Body"/>
      </w:pPr>
      <w:r w:rsidRPr="00BB55D0">
        <w:rPr>
          <w:b/>
        </w:rPr>
        <w:t>Taber Testing of Anodize Coatings</w:t>
      </w:r>
      <w:r w:rsidR="00BB55D0" w:rsidRPr="00BB55D0">
        <w:rPr>
          <w:b/>
        </w:rPr>
        <w:t>:</w:t>
      </w:r>
      <w:r w:rsidR="00BB55D0">
        <w:t xml:space="preserve"> Craig Bowden updated the Task Group on the status of the Taber testing requirements for anodize coatings.</w:t>
      </w:r>
      <w:r w:rsidR="00866A52">
        <w:t xml:space="preserve"> Issue has been raised but no response to date.</w:t>
      </w:r>
    </w:p>
    <w:p w:rsidR="00CB1A76" w:rsidRDefault="00CB1A76" w:rsidP="00CB1A76">
      <w:pPr>
        <w:pStyle w:val="Body"/>
      </w:pPr>
      <w:r w:rsidRPr="00462930">
        <w:rPr>
          <w:b/>
        </w:rPr>
        <w:t>Impact Tester Calibration</w:t>
      </w:r>
      <w:r w:rsidR="00BB55D0" w:rsidRPr="00462930">
        <w:rPr>
          <w:b/>
        </w:rPr>
        <w:t>:</w:t>
      </w:r>
      <w:r w:rsidR="00BB55D0">
        <w:t xml:space="preserve"> Mike Stolze updated the Task Group on the status of the calibration requirements for impact testers.</w:t>
      </w:r>
      <w:r w:rsidR="00866A52">
        <w:t xml:space="preserve"> </w:t>
      </w:r>
      <w:r w:rsidR="004A4C05">
        <w:t>To a</w:t>
      </w:r>
      <w:r w:rsidR="00866A52">
        <w:t xml:space="preserve">wait </w:t>
      </w:r>
      <w:r w:rsidR="004A4C05">
        <w:t>outcome of the following motion before deciding the next step.</w:t>
      </w:r>
    </w:p>
    <w:p w:rsidR="00866A52" w:rsidRDefault="00866A52" w:rsidP="00CB1A76">
      <w:pPr>
        <w:pStyle w:val="Body"/>
      </w:pPr>
      <w:r w:rsidRPr="00866A52">
        <w:t xml:space="preserve">Motion made by Jim Cummings and seconded by Daniel Backus to get clarification from AQS on the </w:t>
      </w:r>
      <w:r w:rsidR="004A4C05" w:rsidRPr="00866A52">
        <w:t>definitions</w:t>
      </w:r>
      <w:r w:rsidRPr="00866A52">
        <w:t xml:space="preserve"> of Calibration, Verification, </w:t>
      </w:r>
      <w:r w:rsidR="007639EE" w:rsidRPr="00866A52">
        <w:t>Standardization</w:t>
      </w:r>
      <w:r w:rsidRPr="00866A52">
        <w:t>, System Accuracy Test.</w:t>
      </w:r>
      <w:r>
        <w:t xml:space="preserve"> Motion passed</w:t>
      </w:r>
      <w:r w:rsidR="004A4C05">
        <w:t>.</w:t>
      </w:r>
    </w:p>
    <w:p w:rsidR="00CB1A76" w:rsidRDefault="00CB1A76" w:rsidP="00CB1A76">
      <w:pPr>
        <w:pStyle w:val="Body"/>
      </w:pPr>
      <w:r w:rsidRPr="00462930">
        <w:rPr>
          <w:b/>
        </w:rPr>
        <w:t>AMS2700 Passivation Testing Requirements</w:t>
      </w:r>
      <w:r w:rsidR="00BB55D0" w:rsidRPr="00462930">
        <w:rPr>
          <w:b/>
        </w:rPr>
        <w:t>:</w:t>
      </w:r>
      <w:r w:rsidR="00BB55D0">
        <w:t xml:space="preserve"> </w:t>
      </w:r>
      <w:r w:rsidR="00462930">
        <w:t xml:space="preserve">Mike </w:t>
      </w:r>
      <w:proofErr w:type="spellStart"/>
      <w:r w:rsidR="00462930">
        <w:t>Noettl</w:t>
      </w:r>
      <w:proofErr w:type="spellEnd"/>
      <w:r w:rsidR="00462930">
        <w:t xml:space="preserve"> updated the Task Group on the status of the lot testing requirements for AMS2700/QQ-P-35.</w:t>
      </w:r>
      <w:r w:rsidR="00866A52">
        <w:t xml:space="preserve"> Awaiting Committee B meeting</w:t>
      </w:r>
    </w:p>
    <w:p w:rsidR="00CB1A76" w:rsidRDefault="00CB1A76" w:rsidP="00CB1A76">
      <w:pPr>
        <w:pStyle w:val="Body"/>
      </w:pPr>
      <w:r w:rsidRPr="00462930">
        <w:rPr>
          <w:b/>
        </w:rPr>
        <w:t xml:space="preserve">Recording </w:t>
      </w:r>
      <w:r w:rsidR="00462930">
        <w:rPr>
          <w:b/>
        </w:rPr>
        <w:t>o</w:t>
      </w:r>
      <w:r w:rsidR="00462930" w:rsidRPr="00462930">
        <w:rPr>
          <w:b/>
        </w:rPr>
        <w:t>f Process Solution Temperatures:</w:t>
      </w:r>
      <w:r w:rsidR="00462930">
        <w:t xml:space="preserve"> Stephen Judge raised a concern regarding the present checklist requirements for recording of process bath temperatures.</w:t>
      </w:r>
      <w:r w:rsidR="00866A52">
        <w:t xml:space="preserve"> Stephen was not present.</w:t>
      </w:r>
    </w:p>
    <w:p w:rsidR="0044295A" w:rsidRDefault="00462930" w:rsidP="00CB1A76">
      <w:pPr>
        <w:pStyle w:val="Body"/>
      </w:pPr>
      <w:r>
        <w:rPr>
          <w:b/>
        </w:rPr>
        <w:t>Chinese Translation of C</w:t>
      </w:r>
      <w:r w:rsidR="00CB1A76" w:rsidRPr="00462930">
        <w:rPr>
          <w:b/>
        </w:rPr>
        <w:t>hecklists</w:t>
      </w:r>
      <w:r w:rsidRPr="00462930">
        <w:rPr>
          <w:b/>
        </w:rPr>
        <w:t xml:space="preserve">: </w:t>
      </w:r>
      <w:r>
        <w:t>Stephen Judge updated the Task Group on the present status of the Chinese translation of checklists.</w:t>
      </w:r>
      <w:r w:rsidR="007F791B">
        <w:t xml:space="preserve"> Many of the checklist slash</w:t>
      </w:r>
      <w:r w:rsidR="004A4C05">
        <w:t xml:space="preserve"> </w:t>
      </w:r>
      <w:r w:rsidR="007F791B">
        <w:t xml:space="preserve">sheets have been written in draft version and need to be amended to capture the resolution comments from the ballots. Once this is complete then a second subscriber is required to approve them. </w:t>
      </w:r>
    </w:p>
    <w:p w:rsidR="0044295A" w:rsidRDefault="00535123" w:rsidP="0044295A">
      <w:pPr>
        <w:pStyle w:val="ActionItem"/>
      </w:pPr>
      <w:r>
        <w:t>ACTION ITEM</w:t>
      </w:r>
      <w:r w:rsidR="0044295A" w:rsidRPr="009610A4">
        <w:t xml:space="preserve">: Nigel Cook </w:t>
      </w:r>
      <w:r w:rsidR="0044295A">
        <w:t>to check with PRI China Office for a suitable company to approve the Chinese translation of the checklists</w:t>
      </w:r>
      <w:r w:rsidR="0044295A" w:rsidRPr="009610A4">
        <w:t xml:space="preserve">. (Due Date: </w:t>
      </w:r>
      <w:r w:rsidR="00790892">
        <w:t>20</w:t>
      </w:r>
      <w:r w:rsidR="0044295A" w:rsidRPr="009610A4">
        <w:t>-</w:t>
      </w:r>
      <w:r w:rsidR="0044295A">
        <w:t>Jun</w:t>
      </w:r>
      <w:r w:rsidR="0044295A" w:rsidRPr="009610A4">
        <w:t>-201</w:t>
      </w:r>
      <w:r w:rsidR="0044295A">
        <w:t>6</w:t>
      </w:r>
      <w:r w:rsidR="0044295A" w:rsidRPr="009610A4">
        <w:t>)</w:t>
      </w:r>
    </w:p>
    <w:p w:rsidR="0044295A" w:rsidRDefault="0044295A" w:rsidP="0044295A">
      <w:pPr>
        <w:pStyle w:val="Body"/>
      </w:pPr>
      <w:r w:rsidRPr="00490442">
        <w:rPr>
          <w:b/>
        </w:rPr>
        <w:t>Etch Rate Test Panels:</w:t>
      </w:r>
      <w:r>
        <w:t xml:space="preserve"> The checklists were reviewed regarding the re-use of etch rate test panels and only AC7108/15</w:t>
      </w:r>
      <w:r w:rsidR="00490442">
        <w:t xml:space="preserve"> para </w:t>
      </w:r>
      <w:r w:rsidR="00490442" w:rsidRPr="00490442">
        <w:t>4.14.2</w:t>
      </w:r>
      <w:r w:rsidR="00490442">
        <w:t xml:space="preserve"> has any requirements regarding the re-use of etch rate test panels.</w:t>
      </w:r>
    </w:p>
    <w:p w:rsidR="00490442" w:rsidRDefault="00535123" w:rsidP="00490442">
      <w:pPr>
        <w:pStyle w:val="ActionItem"/>
      </w:pPr>
      <w:r>
        <w:t>ACTION ITEM</w:t>
      </w:r>
      <w:r w:rsidR="00490442" w:rsidRPr="009610A4">
        <w:t xml:space="preserve">: </w:t>
      </w:r>
      <w:r w:rsidR="00490442">
        <w:t>A sub-team of Karyn Deming (Lead</w:t>
      </w:r>
      <w:r w:rsidR="007639EE">
        <w:t>), Mike</w:t>
      </w:r>
      <w:r w:rsidR="00490442">
        <w:t xml:space="preserve"> Coleman, Jeremy</w:t>
      </w:r>
      <w:r w:rsidR="00790892">
        <w:t xml:space="preserve"> Phillips, </w:t>
      </w:r>
      <w:proofErr w:type="spellStart"/>
      <w:r w:rsidR="00790892">
        <w:t>Mariusz</w:t>
      </w:r>
      <w:proofErr w:type="spellEnd"/>
      <w:r w:rsidR="00790892">
        <w:t xml:space="preserve"> Stanczyk, </w:t>
      </w:r>
      <w:r w:rsidR="00490442">
        <w:t>Mike Stolze</w:t>
      </w:r>
      <w:r w:rsidR="00790892">
        <w:t xml:space="preserve"> and Christine Nesbitt</w:t>
      </w:r>
      <w:r w:rsidR="00490442">
        <w:t xml:space="preserve"> to review checklist requirements </w:t>
      </w:r>
      <w:r w:rsidR="00490442" w:rsidRPr="00490442">
        <w:t>regarding the re-use of etch rate test panels</w:t>
      </w:r>
      <w:r w:rsidR="00490442" w:rsidRPr="009610A4">
        <w:t xml:space="preserve">. (Due Date: </w:t>
      </w:r>
      <w:r w:rsidR="00F83C50">
        <w:t>20</w:t>
      </w:r>
      <w:r w:rsidR="00490442" w:rsidRPr="009610A4">
        <w:t>-</w:t>
      </w:r>
      <w:r w:rsidR="00490442">
        <w:t>Jun</w:t>
      </w:r>
      <w:r w:rsidR="00490442" w:rsidRPr="009610A4">
        <w:t>-201</w:t>
      </w:r>
      <w:r w:rsidR="00490442">
        <w:t>6</w:t>
      </w:r>
      <w:r w:rsidR="00490442" w:rsidRPr="009610A4">
        <w:t>)</w:t>
      </w:r>
    </w:p>
    <w:p w:rsidR="00375BBC" w:rsidRDefault="00375BBC" w:rsidP="00CB1A76">
      <w:pPr>
        <w:pStyle w:val="Heading1"/>
      </w:pPr>
      <w:r w:rsidRPr="0044295A">
        <w:lastRenderedPageBreak/>
        <w:t>NMC SUMMary Report</w:t>
      </w:r>
    </w:p>
    <w:p w:rsidR="00375BBC" w:rsidRPr="00375BBC" w:rsidRDefault="0044295A" w:rsidP="00375BBC">
      <w:pPr>
        <w:pStyle w:val="Body"/>
      </w:pPr>
      <w:r>
        <w:t>The task group put together the NMC Summary report that is to be presented at the General NMC meeting.</w:t>
      </w:r>
    </w:p>
    <w:p w:rsidR="00CB1A76" w:rsidRPr="009610A4" w:rsidRDefault="00CB1A76" w:rsidP="00CB1A76">
      <w:pPr>
        <w:pStyle w:val="Heading1"/>
      </w:pPr>
      <w:r w:rsidRPr="003D6C45">
        <w:t>Report Outs</w:t>
      </w:r>
      <w:r>
        <w:t xml:space="preserve"> </w:t>
      </w:r>
      <w:r w:rsidRPr="009610A4">
        <w:t>– OPEN</w:t>
      </w:r>
    </w:p>
    <w:p w:rsidR="00CB1A76" w:rsidRDefault="00CB1A76" w:rsidP="00CB1A76">
      <w:pPr>
        <w:ind w:left="720"/>
      </w:pPr>
      <w:r w:rsidRPr="00490442">
        <w:rPr>
          <w:b/>
        </w:rPr>
        <w:t>Nadcap Management Council</w:t>
      </w:r>
      <w:r w:rsidRPr="009610A4">
        <w:rPr>
          <w:b/>
        </w:rPr>
        <w:t xml:space="preserve"> (NMC):</w:t>
      </w:r>
      <w:r w:rsidRPr="009610A4">
        <w:t xml:space="preserve"> </w:t>
      </w:r>
      <w:r>
        <w:t>Jim Cummings</w:t>
      </w:r>
      <w:r w:rsidRPr="009610A4">
        <w:t xml:space="preserve"> gave a report out from the NMC meeting.</w:t>
      </w:r>
    </w:p>
    <w:p w:rsidR="00CB1A76" w:rsidRDefault="00CB1A76" w:rsidP="00CB1A76">
      <w:pPr>
        <w:ind w:left="720"/>
      </w:pPr>
      <w:r w:rsidRPr="00490442">
        <w:rPr>
          <w:b/>
        </w:rPr>
        <w:t>Supplier Support Committee</w:t>
      </w:r>
      <w:r w:rsidRPr="009610A4">
        <w:rPr>
          <w:b/>
        </w:rPr>
        <w:t xml:space="preserve"> (SSC): </w:t>
      </w:r>
      <w:r>
        <w:t xml:space="preserve">Eric </w:t>
      </w:r>
      <w:proofErr w:type="spellStart"/>
      <w:r>
        <w:t>Jacklin</w:t>
      </w:r>
      <w:proofErr w:type="spellEnd"/>
      <w:r>
        <w:t xml:space="preserve"> </w:t>
      </w:r>
      <w:r w:rsidRPr="009610A4">
        <w:t>gave a report out from the Supplier Support Committee</w:t>
      </w:r>
      <w:r>
        <w:t xml:space="preserve"> (SSC)</w:t>
      </w:r>
      <w:r w:rsidRPr="009610A4">
        <w:t xml:space="preserve"> meeting.</w:t>
      </w:r>
    </w:p>
    <w:p w:rsidR="00923803" w:rsidRPr="00345705" w:rsidRDefault="00923803" w:rsidP="00CB1A76">
      <w:pPr>
        <w:ind w:left="720"/>
        <w:rPr>
          <w:b/>
        </w:rPr>
      </w:pPr>
      <w:r w:rsidRPr="00490442">
        <w:rPr>
          <w:b/>
        </w:rPr>
        <w:t>Supplier News Presentation</w:t>
      </w:r>
      <w:r w:rsidRPr="00345705">
        <w:rPr>
          <w:b/>
        </w:rPr>
        <w:t xml:space="preserve">: </w:t>
      </w:r>
      <w:r w:rsidRPr="00345705">
        <w:t xml:space="preserve"> </w:t>
      </w:r>
      <w:r w:rsidR="00345705">
        <w:t>SSC presentation on the latest news</w:t>
      </w:r>
      <w:r w:rsidR="00E60A3F">
        <w:t>.</w:t>
      </w:r>
    </w:p>
    <w:p w:rsidR="00CB1A76" w:rsidRDefault="00CB1A76" w:rsidP="00CB1A76">
      <w:pPr>
        <w:ind w:left="720"/>
      </w:pPr>
      <w:r w:rsidRPr="00490442">
        <w:rPr>
          <w:b/>
        </w:rPr>
        <w:t>Aerospace Quality System</w:t>
      </w:r>
      <w:r w:rsidRPr="009610A4">
        <w:rPr>
          <w:b/>
        </w:rPr>
        <w:t xml:space="preserve"> (AQS): </w:t>
      </w:r>
      <w:r>
        <w:t>Mike Coleman</w:t>
      </w:r>
      <w:r w:rsidRPr="009610A4">
        <w:t xml:space="preserve"> gave a report out regarding his role as the AQS representative.</w:t>
      </w:r>
      <w:r>
        <w:t xml:space="preserve"> </w:t>
      </w:r>
    </w:p>
    <w:p w:rsidR="00CB1A76" w:rsidRDefault="00CB1A76" w:rsidP="00CB1A76">
      <w:pPr>
        <w:ind w:left="720"/>
      </w:pPr>
      <w:r w:rsidRPr="009610A4">
        <w:rPr>
          <w:b/>
        </w:rPr>
        <w:t>Closed</w:t>
      </w:r>
      <w:r w:rsidR="00E60A3F">
        <w:rPr>
          <w:b/>
        </w:rPr>
        <w:t xml:space="preserve"> Meeting</w:t>
      </w:r>
      <w:r w:rsidRPr="009610A4">
        <w:rPr>
          <w:b/>
        </w:rPr>
        <w:t>:</w:t>
      </w:r>
      <w:r w:rsidRPr="009610A4">
        <w:t xml:space="preserve"> </w:t>
      </w:r>
      <w:r>
        <w:t>Mike Stolze</w:t>
      </w:r>
      <w:r w:rsidRPr="009610A4">
        <w:t xml:space="preserve"> gave a report out on </w:t>
      </w:r>
      <w:r w:rsidR="00E60A3F">
        <w:t xml:space="preserve">items in the closed meeting that are subject to the open </w:t>
      </w:r>
      <w:r w:rsidRPr="009610A4">
        <w:t>meeting.</w:t>
      </w:r>
    </w:p>
    <w:p w:rsidR="00906D0E" w:rsidRDefault="00906D0E" w:rsidP="00441287">
      <w:pPr>
        <w:pStyle w:val="ListParagraph"/>
        <w:numPr>
          <w:ilvl w:val="0"/>
          <w:numId w:val="15"/>
        </w:numPr>
        <w:ind w:left="1134" w:hanging="425"/>
      </w:pPr>
      <w:r w:rsidRPr="00B46103">
        <w:rPr>
          <w:b/>
        </w:rPr>
        <w:t>Calibration and Verification:</w:t>
      </w:r>
      <w:r>
        <w:t xml:space="preserve"> Sub-team set up to address calibration/verification requirements for various instrument types used in the support of chemical processing (conductivity meters, pH meters, eddy current thickness testers, magnetic thickness testers, XRF, etc.).</w:t>
      </w:r>
    </w:p>
    <w:p w:rsidR="00906D0E" w:rsidRDefault="00535123" w:rsidP="00490442">
      <w:pPr>
        <w:pStyle w:val="ActionItem"/>
      </w:pPr>
      <w:r>
        <w:t>ACTION ITEM</w:t>
      </w:r>
      <w:r w:rsidR="00490442">
        <w:t>: A sub-team of</w:t>
      </w:r>
      <w:r w:rsidR="00906D0E" w:rsidRPr="00906D0E">
        <w:t xml:space="preserve"> </w:t>
      </w:r>
      <w:r w:rsidR="00906D0E">
        <w:t xml:space="preserve">Steve Starr (Lead), Mike Coleman, </w:t>
      </w:r>
      <w:proofErr w:type="spellStart"/>
      <w:r w:rsidR="00906D0E">
        <w:t>Yuhui</w:t>
      </w:r>
      <w:proofErr w:type="spellEnd"/>
      <w:r w:rsidR="00906D0E">
        <w:t xml:space="preserve"> Sun, Mark Montreuil</w:t>
      </w:r>
      <w:r w:rsidR="001F2420">
        <w:t xml:space="preserve">, Jerker </w:t>
      </w:r>
      <w:proofErr w:type="spellStart"/>
      <w:r w:rsidR="001F2420">
        <w:t>Nordh</w:t>
      </w:r>
      <w:proofErr w:type="spellEnd"/>
      <w:r w:rsidR="001F2420">
        <w:t>, Christine Nesbitt, Tammi Schubert, Vitorio Stana</w:t>
      </w:r>
      <w:r w:rsidR="00490442">
        <w:t xml:space="preserve"> was </w:t>
      </w:r>
      <w:r w:rsidR="00490442" w:rsidRPr="00490442">
        <w:t>set up to address calibration/verification requirements for various instrument types used in the support of chemical processing (conductivity meters, pH meters, eddy current thickness testers, magnetic thickness testers, XRF, etc.)</w:t>
      </w:r>
      <w:r w:rsidR="00124E96">
        <w:t xml:space="preserve"> and consider raising to NMC as a </w:t>
      </w:r>
      <w:r w:rsidR="007639EE">
        <w:t>standardization</w:t>
      </w:r>
      <w:r w:rsidR="00124E96">
        <w:t xml:space="preserve"> issue</w:t>
      </w:r>
      <w:r w:rsidR="00191DD4">
        <w:t>.</w:t>
      </w:r>
      <w:r w:rsidR="00F83C50">
        <w:t xml:space="preserve"> </w:t>
      </w:r>
      <w:r w:rsidR="00F83C50" w:rsidRPr="009610A4">
        <w:t xml:space="preserve">(Due Date: </w:t>
      </w:r>
      <w:r w:rsidR="00F83C50">
        <w:t>20</w:t>
      </w:r>
      <w:r w:rsidR="00F83C50" w:rsidRPr="009610A4">
        <w:t>-</w:t>
      </w:r>
      <w:r w:rsidR="00F83C50">
        <w:t>Jun</w:t>
      </w:r>
      <w:r w:rsidR="00F83C50" w:rsidRPr="009610A4">
        <w:t>-201</w:t>
      </w:r>
      <w:r w:rsidR="00F83C50">
        <w:t>6</w:t>
      </w:r>
      <w:r w:rsidR="00F83C50" w:rsidRPr="009610A4">
        <w:t>)</w:t>
      </w:r>
    </w:p>
    <w:p w:rsidR="00757986" w:rsidRDefault="00757986" w:rsidP="00441287">
      <w:pPr>
        <w:pStyle w:val="ListParagraph"/>
        <w:numPr>
          <w:ilvl w:val="0"/>
          <w:numId w:val="15"/>
        </w:numPr>
        <w:ind w:left="1134" w:hanging="425"/>
      </w:pPr>
      <w:r w:rsidRPr="00757986">
        <w:rPr>
          <w:b/>
        </w:rPr>
        <w:t xml:space="preserve">PH Meter Calibration: </w:t>
      </w:r>
      <w:r w:rsidRPr="00757986">
        <w:t>To investigate the functionality of pH meter calibration prior to use to determine the number of calibration points and the need to bracket the pH values of the samples to be measured</w:t>
      </w:r>
      <w:r>
        <w:t>.</w:t>
      </w:r>
    </w:p>
    <w:p w:rsidR="00757986" w:rsidRPr="00757986" w:rsidRDefault="00535123" w:rsidP="00F83C50">
      <w:pPr>
        <w:pStyle w:val="ActionItem"/>
      </w:pPr>
      <w:r>
        <w:t>ACTION ITEM</w:t>
      </w:r>
      <w:r w:rsidR="00F83C50">
        <w:t>: A sub-team of</w:t>
      </w:r>
      <w:r w:rsidR="00F83C50" w:rsidRPr="00906D0E">
        <w:t xml:space="preserve"> </w:t>
      </w:r>
      <w:r w:rsidR="00757986">
        <w:t xml:space="preserve">Hal Abel (Lead), Nick </w:t>
      </w:r>
      <w:proofErr w:type="spellStart"/>
      <w:r w:rsidR="00757986">
        <w:t>Magnapera</w:t>
      </w:r>
      <w:proofErr w:type="spellEnd"/>
      <w:r w:rsidR="00757986">
        <w:t xml:space="preserve">, Barry </w:t>
      </w:r>
      <w:proofErr w:type="spellStart"/>
      <w:r w:rsidR="00757986">
        <w:t>Snitzer</w:t>
      </w:r>
      <w:proofErr w:type="spellEnd"/>
      <w:r w:rsidR="00757986">
        <w:t>, Jeremy Phillips, Ethan Akins</w:t>
      </w:r>
      <w:r w:rsidR="001F2420">
        <w:t xml:space="preserve">, Levi </w:t>
      </w:r>
      <w:proofErr w:type="spellStart"/>
      <w:r w:rsidR="001F2420">
        <w:t>Talamantes</w:t>
      </w:r>
      <w:proofErr w:type="spellEnd"/>
      <w:r w:rsidR="001F2420">
        <w:t>, Daniel Backus</w:t>
      </w:r>
      <w:r w:rsidR="00F83C50">
        <w:t xml:space="preserve"> was set up to</w:t>
      </w:r>
      <w:r w:rsidR="00F83C50" w:rsidRPr="00757986">
        <w:t xml:space="preserve"> investigate the functionality of pH meter calibration prior to use to determine the number of calibration points and the need to bracket the pH values of the samples to be measured</w:t>
      </w:r>
      <w:r w:rsidR="00F83C50">
        <w:t xml:space="preserve">. </w:t>
      </w:r>
      <w:r w:rsidR="00F83C50" w:rsidRPr="009610A4">
        <w:t xml:space="preserve">(Due Date: </w:t>
      </w:r>
      <w:r w:rsidR="00F83C50">
        <w:t>20</w:t>
      </w:r>
      <w:r w:rsidR="00F83C50" w:rsidRPr="009610A4">
        <w:t>-</w:t>
      </w:r>
      <w:r w:rsidR="00F83C50">
        <w:t>Jun</w:t>
      </w:r>
      <w:r w:rsidR="00F83C50" w:rsidRPr="009610A4">
        <w:t>-201</w:t>
      </w:r>
      <w:r w:rsidR="00F83C50">
        <w:t>6</w:t>
      </w:r>
      <w:r w:rsidR="00F83C50" w:rsidRPr="009610A4">
        <w:t>)</w:t>
      </w:r>
    </w:p>
    <w:p w:rsidR="00CB1A76" w:rsidRDefault="00CB1A76" w:rsidP="00CB1A76">
      <w:pPr>
        <w:ind w:left="720"/>
      </w:pPr>
      <w:r w:rsidRPr="004F5659">
        <w:rPr>
          <w:b/>
        </w:rPr>
        <w:t>Chemical Processing</w:t>
      </w:r>
      <w:r w:rsidRPr="00676741">
        <w:rPr>
          <w:b/>
        </w:rPr>
        <w:t xml:space="preserve"> - Supplier Action Team</w:t>
      </w:r>
      <w:r w:rsidRPr="009610A4">
        <w:rPr>
          <w:b/>
        </w:rPr>
        <w:t xml:space="preserve"> (CP-SAT):</w:t>
      </w:r>
      <w:r w:rsidRPr="009610A4">
        <w:t xml:space="preserve"> </w:t>
      </w:r>
      <w:r>
        <w:t xml:space="preserve">Mike </w:t>
      </w:r>
      <w:proofErr w:type="spellStart"/>
      <w:r>
        <w:t>Noettl</w:t>
      </w:r>
      <w:proofErr w:type="spellEnd"/>
      <w:r w:rsidRPr="009610A4">
        <w:t xml:space="preserve"> gave a report out from </w:t>
      </w:r>
      <w:r w:rsidR="00757986">
        <w:t>t</w:t>
      </w:r>
      <w:r w:rsidRPr="009610A4">
        <w:t>he CP-SAT meeting.</w:t>
      </w:r>
    </w:p>
    <w:p w:rsidR="00635C24" w:rsidRPr="00635C24" w:rsidRDefault="00635C24" w:rsidP="00635C24">
      <w:pPr>
        <w:pStyle w:val="ListParagraph"/>
        <w:numPr>
          <w:ilvl w:val="0"/>
          <w:numId w:val="15"/>
        </w:numPr>
        <w:ind w:left="1134" w:hanging="425"/>
        <w:rPr>
          <w:b/>
        </w:rPr>
      </w:pPr>
      <w:r w:rsidRPr="00F83C50">
        <w:rPr>
          <w:b/>
        </w:rPr>
        <w:t>Paint Adhesion Problems</w:t>
      </w:r>
      <w:r w:rsidRPr="00635C24">
        <w:rPr>
          <w:b/>
        </w:rPr>
        <w:t xml:space="preserve">: </w:t>
      </w:r>
      <w:r w:rsidRPr="00635C24">
        <w:t>Suppliers are seeing adhesion failures on water based primers on 7050 materials. The problem has been seen w</w:t>
      </w:r>
      <w:r w:rsidR="00640816">
        <w:t>i</w:t>
      </w:r>
      <w:r w:rsidRPr="00635C24">
        <w:t>th CAA (sealed/unsealed), conversion coatings, and possibly TSA and the failure tends to occur several months after application. Peo</w:t>
      </w:r>
      <w:r>
        <w:t>ple to forward information to</w:t>
      </w:r>
      <w:r w:rsidRPr="00635C24">
        <w:t xml:space="preserve"> Mike </w:t>
      </w:r>
      <w:proofErr w:type="spellStart"/>
      <w:r w:rsidRPr="00635C24">
        <w:t>Noettl</w:t>
      </w:r>
      <w:proofErr w:type="spellEnd"/>
      <w:r w:rsidRPr="00635C24">
        <w:t>.</w:t>
      </w:r>
      <w:r w:rsidRPr="00635C24">
        <w:rPr>
          <w:b/>
        </w:rPr>
        <w:t xml:space="preserve"> </w:t>
      </w:r>
    </w:p>
    <w:p w:rsidR="00635C24" w:rsidRDefault="00635C24" w:rsidP="00635C24">
      <w:pPr>
        <w:ind w:left="1080"/>
      </w:pPr>
      <w:r>
        <w:t>There are possibly tests (impact, bend) that may show these adhesion problems where standard test methods, e.g. tape adhesion, are not.</w:t>
      </w:r>
    </w:p>
    <w:p w:rsidR="00635C24" w:rsidRDefault="00635C24" w:rsidP="00635C24">
      <w:pPr>
        <w:ind w:left="1080"/>
      </w:pPr>
      <w:r>
        <w:t>Presentation to be uploaded to eA</w:t>
      </w:r>
      <w:r w:rsidR="007639EE">
        <w:t>udit</w:t>
      </w:r>
      <w:r>
        <w:t>N</w:t>
      </w:r>
      <w:r w:rsidR="007639EE">
        <w:t>et.</w:t>
      </w:r>
    </w:p>
    <w:p w:rsidR="00635C24" w:rsidRPr="00640816" w:rsidRDefault="00635C24" w:rsidP="00640816">
      <w:pPr>
        <w:pStyle w:val="ListParagraph"/>
        <w:numPr>
          <w:ilvl w:val="0"/>
          <w:numId w:val="15"/>
        </w:numPr>
        <w:ind w:left="1134" w:hanging="425"/>
        <w:rPr>
          <w:b/>
        </w:rPr>
      </w:pPr>
      <w:r w:rsidRPr="00124E96">
        <w:rPr>
          <w:b/>
        </w:rPr>
        <w:t>Visual Acceptance Requirements</w:t>
      </w:r>
      <w:r w:rsidRPr="00635C24">
        <w:rPr>
          <w:b/>
        </w:rPr>
        <w:t xml:space="preserve">: </w:t>
      </w:r>
      <w:r w:rsidRPr="00635C24">
        <w:t xml:space="preserve">Mike </w:t>
      </w:r>
      <w:proofErr w:type="spellStart"/>
      <w:r w:rsidRPr="00635C24">
        <w:t>Noettl</w:t>
      </w:r>
      <w:proofErr w:type="spellEnd"/>
      <w:r w:rsidRPr="00635C24">
        <w:t xml:space="preserve"> gave a presentation on unacceptable visual conditions (UVC). These are “undefined</w:t>
      </w:r>
      <w:r w:rsidR="00640816">
        <w:rPr>
          <w:b/>
        </w:rPr>
        <w:t>”</w:t>
      </w:r>
      <w:r w:rsidR="00640816" w:rsidRPr="00640816">
        <w:t xml:space="preserve"> items that can be cause for r</w:t>
      </w:r>
      <w:r w:rsidR="00640816">
        <w:t>ejection of the parts, example contract wording, “</w:t>
      </w:r>
      <w:r w:rsidR="00640816" w:rsidRPr="00640816">
        <w:t xml:space="preserve">If the visual condition does not violate engineering requirements, but is considered an “Unusual Visual Condition”, the manufacturing source must contact the </w:t>
      </w:r>
      <w:r w:rsidR="00640816" w:rsidRPr="00640816">
        <w:lastRenderedPageBreak/>
        <w:t>Buyer who will work with the Customer Program Quality Leader for concurrence prior to the part being shipped.</w:t>
      </w:r>
      <w:r w:rsidR="00640816">
        <w:t>”</w:t>
      </w:r>
    </w:p>
    <w:p w:rsidR="00640816" w:rsidRDefault="00640816" w:rsidP="00640816">
      <w:pPr>
        <w:ind w:left="1134"/>
      </w:pPr>
      <w:r w:rsidRPr="00640816">
        <w:t xml:space="preserve">This is not a </w:t>
      </w:r>
      <w:r>
        <w:t>Nadcap Audit issue because Nadcap can only audit against defined requirements.</w:t>
      </w:r>
    </w:p>
    <w:p w:rsidR="00F83C50" w:rsidRPr="00640816" w:rsidRDefault="00F83C50" w:rsidP="00640816">
      <w:pPr>
        <w:ind w:left="1134"/>
      </w:pPr>
      <w:r>
        <w:t>Presentation to be uploaded to eA</w:t>
      </w:r>
      <w:r w:rsidR="007639EE">
        <w:t>udit</w:t>
      </w:r>
      <w:r>
        <w:t>N</w:t>
      </w:r>
      <w:r w:rsidR="007639EE">
        <w:t>et</w:t>
      </w:r>
    </w:p>
    <w:p w:rsidR="00635C24" w:rsidRPr="00635C24" w:rsidRDefault="00635C24" w:rsidP="00635C24">
      <w:pPr>
        <w:pStyle w:val="ListParagraph"/>
        <w:numPr>
          <w:ilvl w:val="0"/>
          <w:numId w:val="15"/>
        </w:numPr>
        <w:ind w:left="1134" w:hanging="425"/>
      </w:pPr>
      <w:r w:rsidRPr="00635C24">
        <w:rPr>
          <w:b/>
        </w:rPr>
        <w:t xml:space="preserve">Checklist Strategy: </w:t>
      </w:r>
      <w:r w:rsidRPr="00635C24">
        <w:t xml:space="preserve">How will the Task Group be analyzing and reporting the </w:t>
      </w:r>
      <w:r w:rsidR="00DA5A9E" w:rsidRPr="00635C24">
        <w:t>effect</w:t>
      </w:r>
      <w:r w:rsidRPr="00635C24">
        <w:t xml:space="preserve"> of the new checklists on auditor consistency and NCRs/audit.</w:t>
      </w:r>
      <w:r w:rsidR="00F83C50">
        <w:t xml:space="preserve"> Mike Stolze reported that this will be addressed by the auditor consistency sub-team but since the new checklists are not effective till 5</w:t>
      </w:r>
      <w:r w:rsidR="00F83C50" w:rsidRPr="00F83C50">
        <w:rPr>
          <w:vertAlign w:val="superscript"/>
        </w:rPr>
        <w:t>th</w:t>
      </w:r>
      <w:r w:rsidR="00F83C50">
        <w:t xml:space="preserve"> June 2016 it will be a while before sufficient data can be collected and </w:t>
      </w:r>
      <w:r w:rsidR="007639EE">
        <w:t>analyzed.</w:t>
      </w:r>
    </w:p>
    <w:p w:rsidR="00CB1A76" w:rsidRDefault="00375BBC" w:rsidP="00246608">
      <w:pPr>
        <w:pStyle w:val="Heading1"/>
      </w:pPr>
      <w:r w:rsidRPr="00124E96">
        <w:t>REACH</w:t>
      </w:r>
    </w:p>
    <w:p w:rsidR="00A825E8" w:rsidRDefault="00DA5A9E" w:rsidP="00375BBC">
      <w:pPr>
        <w:pStyle w:val="Body"/>
      </w:pPr>
      <w:r>
        <w:t>Zia Usmani gave an update on REACH</w:t>
      </w:r>
      <w:r w:rsidR="00FF2585">
        <w:t>.</w:t>
      </w:r>
      <w:r w:rsidR="00F83C50">
        <w:t xml:space="preserve"> </w:t>
      </w:r>
    </w:p>
    <w:p w:rsidR="00A825E8" w:rsidRDefault="00F83C50" w:rsidP="00375BBC">
      <w:pPr>
        <w:pStyle w:val="Body"/>
      </w:pPr>
      <w:r>
        <w:t>Various authorizations have been submitted for Chromium Trioxide and compounds containing Cr6+ and the outcome should be known in a couple of months, failure to achieve authorization would have a significant effect on</w:t>
      </w:r>
      <w:r w:rsidR="00A825E8">
        <w:t xml:space="preserve"> the aerospace industry. </w:t>
      </w:r>
    </w:p>
    <w:p w:rsidR="00375BBC" w:rsidRDefault="00A825E8" w:rsidP="00375BBC">
      <w:pPr>
        <w:pStyle w:val="Body"/>
      </w:pPr>
      <w:r>
        <w:t xml:space="preserve">There has also been a change to the definition of an “article” within the regulations, once an article always an article. This will affect the reporting requirements when providing an item to a customer in Europe. If an item contains articles that exceed the defined limits of </w:t>
      </w:r>
      <w:r w:rsidRPr="00A825E8">
        <w:t>SVHC</w:t>
      </w:r>
      <w:r>
        <w:t xml:space="preserve">s then the article will need to be declared even though the content in the item does not exceed the </w:t>
      </w:r>
      <w:r w:rsidRPr="00A825E8">
        <w:t>SVHC</w:t>
      </w:r>
      <w:r>
        <w:t xml:space="preserve"> limit.</w:t>
      </w:r>
    </w:p>
    <w:p w:rsidR="00A825E8" w:rsidRPr="00375BBC" w:rsidRDefault="00A825E8" w:rsidP="00375BBC">
      <w:pPr>
        <w:pStyle w:val="Body"/>
      </w:pPr>
      <w:r>
        <w:t>Some material manufacturers have changed formulations without changing the product name/designation. Their justification for doing it is that the new formulation still meets/exceeds specification requirements, however, the changes may lead to detrimental effects in use because the change in properties are not covered by the specification test requirements.</w:t>
      </w:r>
    </w:p>
    <w:p w:rsidR="00246608" w:rsidRDefault="00246608" w:rsidP="00246608">
      <w:pPr>
        <w:pStyle w:val="Heading1"/>
      </w:pPr>
      <w:r w:rsidRPr="009610A4">
        <w:t xml:space="preserve">meeting feedback and develop the </w:t>
      </w:r>
      <w:r w:rsidRPr="00A825E8">
        <w:t>agenda</w:t>
      </w:r>
      <w:r w:rsidRPr="009610A4">
        <w:t xml:space="preserve"> for the next task group meeting</w:t>
      </w:r>
    </w:p>
    <w:p w:rsidR="005956A7" w:rsidRDefault="00AB2C8A" w:rsidP="001D02DF">
      <w:pPr>
        <w:pStyle w:val="Body"/>
      </w:pPr>
      <w:r>
        <w:t>Breakout</w:t>
      </w:r>
      <w:r w:rsidR="00CE5BC4">
        <w:t xml:space="preserve"> sessions </w:t>
      </w:r>
      <w:r>
        <w:t>to</w:t>
      </w:r>
      <w:r w:rsidR="00CE5BC4">
        <w:t xml:space="preserve"> be run </w:t>
      </w:r>
      <w:r w:rsidR="0026372E">
        <w:t xml:space="preserve">during the </w:t>
      </w:r>
      <w:r w:rsidR="00CE5BC4">
        <w:t>afternoon</w:t>
      </w:r>
      <w:r w:rsidR="0026372E">
        <w:t>s</w:t>
      </w:r>
      <w:r w:rsidR="00CE5BC4">
        <w:t xml:space="preserve"> to allow sub-teams to wo</w:t>
      </w:r>
      <w:r w:rsidR="00DA5A9E">
        <w:t>r</w:t>
      </w:r>
      <w:r>
        <w:t>k on their actions face to face,</w:t>
      </w:r>
      <w:r w:rsidR="00CE5BC4">
        <w:t xml:space="preserve"> e.g. Auditor Conference presentations.</w:t>
      </w:r>
    </w:p>
    <w:p w:rsidR="00AB2C8A" w:rsidRPr="00757986" w:rsidRDefault="00AB2C8A" w:rsidP="00AB2C8A">
      <w:pPr>
        <w:pStyle w:val="ActionItem"/>
      </w:pPr>
      <w:r>
        <w:t xml:space="preserve">ACTION ITEM: Nigel Cook to arrange the agenda to allow for sub-teams to work each afternoon. </w:t>
      </w:r>
      <w:r w:rsidRPr="009610A4">
        <w:t xml:space="preserve">(Due Date: </w:t>
      </w:r>
      <w:r>
        <w:t>20</w:t>
      </w:r>
      <w:r w:rsidRPr="009610A4">
        <w:t>-</w:t>
      </w:r>
      <w:r>
        <w:t>Jun</w:t>
      </w:r>
      <w:r w:rsidRPr="009610A4">
        <w:t>-201</w:t>
      </w:r>
      <w:r>
        <w:t>6</w:t>
      </w:r>
      <w:r w:rsidRPr="009610A4">
        <w:t>)</w:t>
      </w:r>
    </w:p>
    <w:p w:rsidR="001D02DF" w:rsidRDefault="00C34B50" w:rsidP="00C34B50">
      <w:pPr>
        <w:pStyle w:val="Body"/>
      </w:pPr>
      <w:r>
        <w:t xml:space="preserve">No comments on meeting feedback. A much better facility than </w:t>
      </w:r>
      <w:r w:rsidR="00A825E8">
        <w:t xml:space="preserve">the one used at the </w:t>
      </w:r>
      <w:r>
        <w:t>previous Madrid meeting.</w:t>
      </w:r>
    </w:p>
    <w:p w:rsidR="009610A4" w:rsidRPr="009610A4" w:rsidRDefault="009610A4" w:rsidP="009610A4">
      <w:r w:rsidRPr="009610A4">
        <w:t xml:space="preserve">ADJOURNMENT – </w:t>
      </w:r>
      <w:r w:rsidR="00375BBC">
        <w:t>25</w:t>
      </w:r>
      <w:r w:rsidRPr="009610A4">
        <w:t>-</w:t>
      </w:r>
      <w:r w:rsidR="00375BBC">
        <w:t>Feb</w:t>
      </w:r>
      <w:r w:rsidRPr="009610A4">
        <w:t>-201</w:t>
      </w:r>
      <w:r w:rsidR="00375BBC">
        <w:t>6</w:t>
      </w:r>
      <w:r w:rsidRPr="009610A4">
        <w:t xml:space="preserve"> – Meeting was adjourned at </w:t>
      </w:r>
      <w:r w:rsidR="00BC0DE5">
        <w:t>3:30 pm</w:t>
      </w:r>
      <w:r w:rsidRPr="009610A4">
        <w:t>.</w:t>
      </w:r>
    </w:p>
    <w:p w:rsidR="009610A4" w:rsidRPr="009610A4" w:rsidRDefault="009610A4" w:rsidP="009610A4">
      <w:pPr>
        <w:spacing w:after="0"/>
        <w:ind w:left="720"/>
      </w:pPr>
      <w:r w:rsidRPr="009610A4">
        <w:t xml:space="preserve">Minutes Prepared by: </w:t>
      </w:r>
      <w:r w:rsidRPr="009610A4">
        <w:tab/>
      </w:r>
    </w:p>
    <w:p w:rsidR="00375BBC" w:rsidRDefault="009610A4" w:rsidP="009610A4">
      <w:pPr>
        <w:spacing w:after="0"/>
        <w:ind w:left="720"/>
        <w:rPr>
          <w:rStyle w:val="Hyperlink"/>
        </w:rPr>
      </w:pPr>
      <w:r w:rsidRPr="009610A4">
        <w:tab/>
      </w:r>
      <w:r w:rsidRPr="009610A4">
        <w:tab/>
      </w:r>
      <w:r w:rsidRPr="009610A4">
        <w:tab/>
      </w:r>
      <w:r w:rsidR="00375BBC">
        <w:t>Ethan Akins</w:t>
      </w:r>
      <w:r w:rsidR="00375BBC">
        <w:tab/>
      </w:r>
      <w:r w:rsidR="00375BBC">
        <w:tab/>
      </w:r>
      <w:hyperlink r:id="rId12" w:history="1">
        <w:r w:rsidR="00375BBC" w:rsidRPr="00CD5191">
          <w:rPr>
            <w:rStyle w:val="Hyperlink"/>
          </w:rPr>
          <w:t>eakins@p-r-i.org</w:t>
        </w:r>
      </w:hyperlink>
    </w:p>
    <w:p w:rsidR="004F3163" w:rsidRDefault="004F3163" w:rsidP="009610A4">
      <w:pPr>
        <w:spacing w:after="0"/>
        <w:ind w:left="720"/>
        <w:rPr>
          <w:rStyle w:val="Hyperlink"/>
        </w:rPr>
      </w:pPr>
      <w:r w:rsidRPr="00764144">
        <w:rPr>
          <w:rStyle w:val="Hyperlink"/>
          <w:u w:val="none"/>
        </w:rPr>
        <w:tab/>
      </w:r>
      <w:r w:rsidRPr="00764144">
        <w:rPr>
          <w:rStyle w:val="Hyperlink"/>
          <w:u w:val="none"/>
        </w:rPr>
        <w:tab/>
      </w:r>
      <w:r w:rsidRPr="00764144">
        <w:rPr>
          <w:rStyle w:val="Hyperlink"/>
          <w:u w:val="none"/>
        </w:rPr>
        <w:tab/>
      </w:r>
      <w:r w:rsidRPr="00764144">
        <w:rPr>
          <w:rStyle w:val="Hyperlink"/>
          <w:color w:val="auto"/>
          <w:u w:val="none"/>
        </w:rPr>
        <w:t>Joyce Benkart</w:t>
      </w:r>
      <w:r w:rsidRPr="00764144">
        <w:rPr>
          <w:rStyle w:val="Hyperlink"/>
          <w:color w:val="auto"/>
          <w:u w:val="none"/>
        </w:rPr>
        <w:tab/>
      </w:r>
      <w:r w:rsidRPr="00764144">
        <w:rPr>
          <w:rStyle w:val="Hyperlink"/>
          <w:u w:val="none"/>
        </w:rPr>
        <w:tab/>
      </w:r>
      <w:r>
        <w:rPr>
          <w:rStyle w:val="Hyperlink"/>
        </w:rPr>
        <w:t>jbenkart@p-r-i.org</w:t>
      </w:r>
    </w:p>
    <w:p w:rsidR="004F3163" w:rsidRDefault="004F3163" w:rsidP="009610A4">
      <w:pPr>
        <w:spacing w:after="0"/>
        <w:ind w:left="720"/>
      </w:pPr>
      <w:r>
        <w:tab/>
      </w:r>
      <w:r>
        <w:tab/>
      </w:r>
      <w:r>
        <w:tab/>
      </w:r>
      <w:r w:rsidRPr="009610A4">
        <w:t xml:space="preserve">Nigel Cook </w:t>
      </w:r>
      <w:r>
        <w:tab/>
      </w:r>
      <w:r w:rsidRPr="009610A4">
        <w:tab/>
      </w:r>
      <w:hyperlink r:id="rId13" w:history="1">
        <w:r w:rsidRPr="009610A4">
          <w:rPr>
            <w:color w:val="0000FF" w:themeColor="hyperlink"/>
            <w:u w:val="single"/>
          </w:rPr>
          <w:t>ncook@p-r-i.org</w:t>
        </w:r>
      </w:hyperlink>
    </w:p>
    <w:p w:rsidR="00375BBC" w:rsidRDefault="00375BBC" w:rsidP="009610A4">
      <w:pPr>
        <w:spacing w:after="0"/>
        <w:ind w:left="720"/>
      </w:pPr>
      <w:r>
        <w:tab/>
      </w:r>
      <w:r>
        <w:tab/>
      </w:r>
      <w:r>
        <w:tab/>
        <w:t>Christine Nesbitt</w:t>
      </w:r>
      <w:r>
        <w:tab/>
      </w:r>
      <w:hyperlink r:id="rId14" w:history="1">
        <w:r w:rsidRPr="00CD5191">
          <w:rPr>
            <w:rStyle w:val="Hyperlink"/>
          </w:rPr>
          <w:t>cnesbitt@p-r-i.org</w:t>
        </w:r>
      </w:hyperlink>
      <w:r>
        <w:t xml:space="preserve"> </w:t>
      </w:r>
    </w:p>
    <w:p w:rsidR="00CD5422" w:rsidRDefault="00CD5422" w:rsidP="009610A4">
      <w:pPr>
        <w:spacing w:after="0"/>
        <w:ind w:left="720"/>
      </w:pPr>
    </w:p>
    <w:tbl>
      <w:tblPr>
        <w:tblStyle w:val="TableGrid"/>
        <w:tblW w:w="0" w:type="auto"/>
        <w:shd w:val="clear" w:color="auto" w:fill="F2F2F2" w:themeFill="background1" w:themeFillShade="F2"/>
        <w:tblLook w:val="04A0" w:firstRow="1" w:lastRow="0" w:firstColumn="1" w:lastColumn="0" w:noHBand="0" w:noVBand="1"/>
      </w:tblPr>
      <w:tblGrid>
        <w:gridCol w:w="3121"/>
        <w:gridCol w:w="3125"/>
        <w:gridCol w:w="3104"/>
      </w:tblGrid>
      <w:tr w:rsidR="009610A4" w:rsidRPr="009610A4" w:rsidTr="00CD5422">
        <w:tc>
          <w:tcPr>
            <w:tcW w:w="9350" w:type="dxa"/>
            <w:gridSpan w:val="3"/>
            <w:shd w:val="clear" w:color="auto" w:fill="F2F2F2" w:themeFill="background1" w:themeFillShade="F2"/>
          </w:tcPr>
          <w:p w:rsidR="009610A4" w:rsidRPr="009610A4" w:rsidRDefault="009610A4" w:rsidP="009610A4"/>
          <w:p w:rsidR="009610A4" w:rsidRPr="009610A4" w:rsidRDefault="009610A4" w:rsidP="009610A4">
            <w:pPr>
              <w:jc w:val="center"/>
            </w:pPr>
            <w:r w:rsidRPr="009610A4">
              <w:t>***** For PRI Staff use only: ******</w:t>
            </w:r>
          </w:p>
          <w:p w:rsidR="009610A4" w:rsidRPr="009610A4" w:rsidRDefault="009610A4" w:rsidP="009610A4"/>
          <w:p w:rsidR="009610A4" w:rsidRPr="009610A4" w:rsidRDefault="009610A4" w:rsidP="009610A4">
            <w:r w:rsidRPr="009610A4">
              <w:t>Are procedural/form changes required based on changes/actions approved during this meeting? (select one)</w:t>
            </w:r>
          </w:p>
          <w:p w:rsidR="009610A4" w:rsidRPr="009610A4" w:rsidRDefault="009610A4" w:rsidP="009610A4"/>
          <w:p w:rsidR="009610A4" w:rsidRPr="009610A4" w:rsidRDefault="009610A4" w:rsidP="009610A4">
            <w:pPr>
              <w:jc w:val="center"/>
            </w:pPr>
            <w:r w:rsidRPr="009610A4">
              <w:t xml:space="preserve">YES*  </w:t>
            </w:r>
            <w:sdt>
              <w:sdtPr>
                <w:id w:val="-1222288452"/>
                <w14:checkbox>
                  <w14:checked w14:val="1"/>
                  <w14:checkedState w14:val="2612" w14:font="MS Gothic"/>
                  <w14:uncheckedState w14:val="2610" w14:font="MS Gothic"/>
                </w14:checkbox>
              </w:sdtPr>
              <w:sdtEndPr/>
              <w:sdtContent>
                <w:r w:rsidR="00375BBC">
                  <w:rPr>
                    <w:rFonts w:ascii="MS Gothic" w:eastAsia="MS Gothic" w:hAnsi="MS Gothic" w:hint="eastAsia"/>
                  </w:rPr>
                  <w:t>☒</w:t>
                </w:r>
              </w:sdtContent>
            </w:sdt>
            <w:r w:rsidRPr="009610A4">
              <w:t xml:space="preserve">   NO  </w:t>
            </w:r>
            <w:sdt>
              <w:sdtPr>
                <w:id w:val="-1111664188"/>
                <w14:checkbox>
                  <w14:checked w14:val="0"/>
                  <w14:checkedState w14:val="2612" w14:font="MS Gothic"/>
                  <w14:uncheckedState w14:val="2610" w14:font="MS Gothic"/>
                </w14:checkbox>
              </w:sdtPr>
              <w:sdtEndPr/>
              <w:sdtContent>
                <w:r w:rsidR="00375BBC">
                  <w:rPr>
                    <w:rFonts w:ascii="MS Gothic" w:eastAsia="MS Gothic" w:hAnsi="MS Gothic" w:hint="eastAsia"/>
                  </w:rPr>
                  <w:t>☐</w:t>
                </w:r>
              </w:sdtContent>
            </w:sdt>
          </w:p>
          <w:p w:rsidR="009610A4" w:rsidRPr="009610A4" w:rsidRDefault="009610A4" w:rsidP="009610A4"/>
          <w:p w:rsidR="009610A4" w:rsidRPr="009610A4" w:rsidRDefault="009610A4" w:rsidP="009610A4">
            <w:r w:rsidRPr="009610A4">
              <w:t>*If yes, the following information is required:</w:t>
            </w:r>
          </w:p>
        </w:tc>
      </w:tr>
      <w:tr w:rsidR="009610A4" w:rsidRPr="009610A4" w:rsidTr="00CD5422">
        <w:tc>
          <w:tcPr>
            <w:tcW w:w="3121" w:type="dxa"/>
            <w:shd w:val="clear" w:color="auto" w:fill="F2F2F2" w:themeFill="background1" w:themeFillShade="F2"/>
          </w:tcPr>
          <w:p w:rsidR="009610A4" w:rsidRPr="009610A4" w:rsidRDefault="009610A4" w:rsidP="009610A4">
            <w:pPr>
              <w:rPr>
                <w:b/>
              </w:rPr>
            </w:pPr>
            <w:r w:rsidRPr="009610A4">
              <w:rPr>
                <w:b/>
              </w:rPr>
              <w:lastRenderedPageBreak/>
              <w:t>Documents requiring revision:</w:t>
            </w:r>
          </w:p>
        </w:tc>
        <w:tc>
          <w:tcPr>
            <w:tcW w:w="3125" w:type="dxa"/>
            <w:shd w:val="clear" w:color="auto" w:fill="F2F2F2" w:themeFill="background1" w:themeFillShade="F2"/>
          </w:tcPr>
          <w:p w:rsidR="009610A4" w:rsidRPr="009610A4" w:rsidRDefault="009610A4" w:rsidP="009610A4">
            <w:pPr>
              <w:rPr>
                <w:b/>
              </w:rPr>
            </w:pPr>
            <w:r w:rsidRPr="009610A4">
              <w:rPr>
                <w:b/>
              </w:rPr>
              <w:t>Who is responsible:</w:t>
            </w:r>
          </w:p>
        </w:tc>
        <w:tc>
          <w:tcPr>
            <w:tcW w:w="3104" w:type="dxa"/>
            <w:shd w:val="clear" w:color="auto" w:fill="F2F2F2" w:themeFill="background1" w:themeFillShade="F2"/>
          </w:tcPr>
          <w:p w:rsidR="009610A4" w:rsidRPr="009610A4" w:rsidRDefault="009610A4" w:rsidP="009610A4">
            <w:pPr>
              <w:rPr>
                <w:b/>
              </w:rPr>
            </w:pPr>
            <w:r w:rsidRPr="009610A4">
              <w:rPr>
                <w:b/>
              </w:rPr>
              <w:t>Due date:</w:t>
            </w:r>
          </w:p>
        </w:tc>
      </w:tr>
      <w:tr w:rsidR="009610A4" w:rsidRPr="009610A4" w:rsidTr="00CD5422">
        <w:tc>
          <w:tcPr>
            <w:tcW w:w="3121" w:type="dxa"/>
            <w:shd w:val="clear" w:color="auto" w:fill="F2F2F2" w:themeFill="background1" w:themeFillShade="F2"/>
          </w:tcPr>
          <w:p w:rsidR="009610A4" w:rsidRPr="009610A4" w:rsidRDefault="00375BBC" w:rsidP="009610A4">
            <w:r>
              <w:t>OP 1114 App CP</w:t>
            </w:r>
          </w:p>
        </w:tc>
        <w:tc>
          <w:tcPr>
            <w:tcW w:w="3125" w:type="dxa"/>
            <w:shd w:val="clear" w:color="auto" w:fill="F2F2F2" w:themeFill="background1" w:themeFillShade="F2"/>
          </w:tcPr>
          <w:p w:rsidR="009610A4" w:rsidRPr="009610A4" w:rsidRDefault="00375BBC" w:rsidP="009610A4">
            <w:r>
              <w:t>Nigel Cook</w:t>
            </w:r>
          </w:p>
        </w:tc>
        <w:tc>
          <w:tcPr>
            <w:tcW w:w="3104" w:type="dxa"/>
            <w:shd w:val="clear" w:color="auto" w:fill="F2F2F2" w:themeFill="background1" w:themeFillShade="F2"/>
          </w:tcPr>
          <w:p w:rsidR="009610A4" w:rsidRPr="009610A4" w:rsidRDefault="00480041" w:rsidP="003F4D59">
            <w:r>
              <w:t>04-Mar-2016</w:t>
            </w:r>
          </w:p>
        </w:tc>
      </w:tr>
      <w:tr w:rsidR="00D962E1" w:rsidRPr="009610A4" w:rsidTr="00CD5422">
        <w:tc>
          <w:tcPr>
            <w:tcW w:w="3121" w:type="dxa"/>
            <w:shd w:val="clear" w:color="auto" w:fill="F2F2F2" w:themeFill="background1" w:themeFillShade="F2"/>
          </w:tcPr>
          <w:p w:rsidR="00D962E1" w:rsidRPr="009610A4" w:rsidRDefault="002F35EE" w:rsidP="00704A3A">
            <w:r>
              <w:t>OP 1110 Failure Criteria</w:t>
            </w:r>
          </w:p>
        </w:tc>
        <w:tc>
          <w:tcPr>
            <w:tcW w:w="3125" w:type="dxa"/>
            <w:shd w:val="clear" w:color="auto" w:fill="F2F2F2" w:themeFill="background1" w:themeFillShade="F2"/>
          </w:tcPr>
          <w:p w:rsidR="00D962E1" w:rsidRPr="009610A4" w:rsidRDefault="002F35EE" w:rsidP="00704A3A">
            <w:r>
              <w:t>Nigel Cook</w:t>
            </w:r>
          </w:p>
        </w:tc>
        <w:tc>
          <w:tcPr>
            <w:tcW w:w="3104" w:type="dxa"/>
            <w:shd w:val="clear" w:color="auto" w:fill="F2F2F2" w:themeFill="background1" w:themeFillShade="F2"/>
          </w:tcPr>
          <w:p w:rsidR="00D962E1" w:rsidRPr="009610A4" w:rsidRDefault="00480041" w:rsidP="00704A3A">
            <w:r>
              <w:t>04-Mar-2016</w:t>
            </w:r>
          </w:p>
        </w:tc>
      </w:tr>
      <w:tr w:rsidR="00D962E1" w:rsidRPr="009610A4" w:rsidTr="00CD5422">
        <w:tc>
          <w:tcPr>
            <w:tcW w:w="3121" w:type="dxa"/>
            <w:shd w:val="clear" w:color="auto" w:fill="F2F2F2" w:themeFill="background1" w:themeFillShade="F2"/>
          </w:tcPr>
          <w:p w:rsidR="00D962E1" w:rsidRPr="009610A4" w:rsidRDefault="00480041" w:rsidP="00704A3A">
            <w:r>
              <w:t>OP 1116 App CP</w:t>
            </w:r>
          </w:p>
        </w:tc>
        <w:tc>
          <w:tcPr>
            <w:tcW w:w="3125" w:type="dxa"/>
            <w:shd w:val="clear" w:color="auto" w:fill="F2F2F2" w:themeFill="background1" w:themeFillShade="F2"/>
          </w:tcPr>
          <w:p w:rsidR="00D962E1" w:rsidRPr="009610A4" w:rsidRDefault="00480041" w:rsidP="00704A3A">
            <w:r>
              <w:t>Nigel Cook</w:t>
            </w:r>
          </w:p>
        </w:tc>
        <w:tc>
          <w:tcPr>
            <w:tcW w:w="3104" w:type="dxa"/>
            <w:shd w:val="clear" w:color="auto" w:fill="F2F2F2" w:themeFill="background1" w:themeFillShade="F2"/>
          </w:tcPr>
          <w:p w:rsidR="00D962E1" w:rsidRPr="009610A4" w:rsidRDefault="00480041" w:rsidP="003F4D59">
            <w:r>
              <w:t>04-Mar-2016</w:t>
            </w:r>
          </w:p>
        </w:tc>
      </w:tr>
      <w:tr w:rsidR="009610A4" w:rsidRPr="009610A4" w:rsidTr="00CD5422">
        <w:tc>
          <w:tcPr>
            <w:tcW w:w="3121" w:type="dxa"/>
            <w:shd w:val="clear" w:color="auto" w:fill="F2F2F2" w:themeFill="background1" w:themeFillShade="F2"/>
          </w:tcPr>
          <w:p w:rsidR="009610A4" w:rsidRPr="009610A4" w:rsidRDefault="009610A4" w:rsidP="009610A4"/>
        </w:tc>
        <w:tc>
          <w:tcPr>
            <w:tcW w:w="3125" w:type="dxa"/>
            <w:shd w:val="clear" w:color="auto" w:fill="F2F2F2" w:themeFill="background1" w:themeFillShade="F2"/>
          </w:tcPr>
          <w:p w:rsidR="009610A4" w:rsidRPr="009610A4" w:rsidRDefault="009610A4" w:rsidP="009610A4"/>
        </w:tc>
        <w:tc>
          <w:tcPr>
            <w:tcW w:w="3104" w:type="dxa"/>
            <w:shd w:val="clear" w:color="auto" w:fill="F2F2F2" w:themeFill="background1" w:themeFillShade="F2"/>
          </w:tcPr>
          <w:p w:rsidR="009610A4" w:rsidRPr="009610A4" w:rsidRDefault="009610A4" w:rsidP="009610A4"/>
        </w:tc>
      </w:tr>
    </w:tbl>
    <w:p w:rsidR="009610A4" w:rsidRPr="009610A4" w:rsidRDefault="009610A4" w:rsidP="00CD5422">
      <w:pPr>
        <w:spacing w:line="276" w:lineRule="auto"/>
      </w:pPr>
    </w:p>
    <w:sectPr w:rsidR="009610A4" w:rsidRPr="009610A4" w:rsidSect="00866C8D">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F0" w:rsidRDefault="009561F0" w:rsidP="00FC3F1E">
      <w:pPr>
        <w:spacing w:after="0"/>
      </w:pPr>
      <w:r>
        <w:separator/>
      </w:r>
    </w:p>
  </w:endnote>
  <w:endnote w:type="continuationSeparator" w:id="0">
    <w:p w:rsidR="009561F0" w:rsidRDefault="009561F0"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13" w:rsidRDefault="007C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13" w:rsidRDefault="007C2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13" w:rsidRDefault="007C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F0" w:rsidRDefault="009561F0" w:rsidP="00FC3F1E">
      <w:pPr>
        <w:spacing w:after="0"/>
      </w:pPr>
      <w:r>
        <w:separator/>
      </w:r>
    </w:p>
  </w:footnote>
  <w:footnote w:type="continuationSeparator" w:id="0">
    <w:p w:rsidR="009561F0" w:rsidRDefault="009561F0"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F0" w:rsidRDefault="007C2913">
    <w:pPr>
      <w:pStyle w:val="Header"/>
    </w:pPr>
    <w:r>
      <w:rPr>
        <w:noProof/>
      </w:rPr>
      <w:pict w14:anchorId="48164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7053"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F0" w:rsidRDefault="009561F0">
    <w:pPr>
      <w:pStyle w:val="Header"/>
    </w:pPr>
    <w:r>
      <w:rPr>
        <w:noProof/>
      </w:rPr>
      <w:drawing>
        <wp:anchor distT="0" distB="0" distL="114300" distR="114300" simplePos="0" relativeHeight="251665408" behindDoc="0" locked="0" layoutInCell="1" allowOverlap="1" wp14:anchorId="48164FB9" wp14:editId="48164FBA">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7C2913">
      <w:rPr>
        <w:noProof/>
      </w:rPr>
      <w:pict w14:anchorId="48164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7054"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CHEMICAL PROCESSING</w:t>
    </w:r>
  </w:p>
  <w:p w:rsidR="009561F0" w:rsidRDefault="009561F0">
    <w:pPr>
      <w:pStyle w:val="Header"/>
    </w:pPr>
    <w:r>
      <w:t>FEBRUARY 2016</w:t>
    </w:r>
  </w:p>
  <w:p w:rsidR="009561F0" w:rsidRDefault="009561F0">
    <w:pPr>
      <w:pStyle w:val="Header"/>
    </w:pPr>
    <w:bookmarkStart w:id="117" w:name="_GoBack"/>
    <w:bookmarkEnd w:id="117"/>
    <w:r>
      <w:t>CONFIRMED</w:t>
    </w:r>
  </w:p>
  <w:p w:rsidR="009561F0" w:rsidRDefault="00956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F0" w:rsidRDefault="007C2913">
    <w:pPr>
      <w:pStyle w:val="Header"/>
    </w:pPr>
    <w:r>
      <w:rPr>
        <w:noProof/>
      </w:rPr>
      <w:pict w14:anchorId="48164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7052"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DA"/>
    <w:multiLevelType w:val="hybridMultilevel"/>
    <w:tmpl w:val="30F8E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1578C"/>
    <w:multiLevelType w:val="hybridMultilevel"/>
    <w:tmpl w:val="C42ED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76DBD"/>
    <w:multiLevelType w:val="hybridMultilevel"/>
    <w:tmpl w:val="51C0C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45DCE"/>
    <w:multiLevelType w:val="hybridMultilevel"/>
    <w:tmpl w:val="8FB6B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43DEF"/>
    <w:multiLevelType w:val="hybridMultilevel"/>
    <w:tmpl w:val="7082A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9C1394"/>
    <w:multiLevelType w:val="hybridMultilevel"/>
    <w:tmpl w:val="1576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2B35E1"/>
    <w:multiLevelType w:val="hybridMultilevel"/>
    <w:tmpl w:val="5C5EF91A"/>
    <w:lvl w:ilvl="0" w:tplc="82101538">
      <w:start w:val="1"/>
      <w:numFmt w:val="bullet"/>
      <w:lvlText w:val=""/>
      <w:lvlJc w:val="left"/>
      <w:pPr>
        <w:ind w:left="1440" w:hanging="360"/>
      </w:pPr>
      <w:rPr>
        <w:rFonts w:ascii="Symbol" w:hAnsi="Symbol" w:hint="default"/>
      </w:rPr>
    </w:lvl>
    <w:lvl w:ilvl="1" w:tplc="82101538">
      <w:start w:val="1"/>
      <w:numFmt w:val="bullet"/>
      <w:lvlText w:val=""/>
      <w:lvlJc w:val="left"/>
      <w:pPr>
        <w:ind w:left="1440" w:hanging="360"/>
      </w:pPr>
      <w:rPr>
        <w:rFonts w:ascii="Symbol" w:hAnsi="Symbol" w:hint="default"/>
      </w:rPr>
    </w:lvl>
    <w:lvl w:ilvl="2" w:tplc="0AC80E8E">
      <w:numFmt w:val="bullet"/>
      <w:lvlText w:val="•"/>
      <w:lvlJc w:val="left"/>
      <w:pPr>
        <w:ind w:left="2520" w:hanging="720"/>
      </w:pPr>
      <w:rPr>
        <w:rFonts w:ascii="Arial" w:eastAsiaTheme="minorHAnsi" w:hAnsi="Arial" w:cs="Arial" w:hint="default"/>
      </w:rPr>
    </w:lvl>
    <w:lvl w:ilvl="3" w:tplc="F872ECB6">
      <w:numFmt w:val="bullet"/>
      <w:lvlText w:val=""/>
      <w:lvlJc w:val="left"/>
      <w:pPr>
        <w:ind w:left="2880" w:hanging="360"/>
      </w:pPr>
      <w:rPr>
        <w:rFonts w:ascii="Symbol" w:eastAsiaTheme="minorHAnsi" w:hAnsi="Symbol" w:cstheme="minorBidi"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E6FFB"/>
    <w:multiLevelType w:val="hybridMultilevel"/>
    <w:tmpl w:val="959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08038F"/>
    <w:multiLevelType w:val="hybridMultilevel"/>
    <w:tmpl w:val="490CD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21103F"/>
    <w:multiLevelType w:val="hybridMultilevel"/>
    <w:tmpl w:val="EE08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42368D"/>
    <w:multiLevelType w:val="hybridMultilevel"/>
    <w:tmpl w:val="2ADC91B0"/>
    <w:lvl w:ilvl="0" w:tplc="04090001">
      <w:start w:val="1"/>
      <w:numFmt w:val="bullet"/>
      <w:lvlText w:val=""/>
      <w:lvlJc w:val="left"/>
      <w:pPr>
        <w:ind w:left="1800" w:hanging="360"/>
      </w:pPr>
      <w:rPr>
        <w:rFonts w:ascii="Symbol" w:hAnsi="Symbol" w:hint="default"/>
      </w:rPr>
    </w:lvl>
    <w:lvl w:ilvl="1" w:tplc="B2E2170A">
      <w:numFmt w:val="bullet"/>
      <w:lvlText w:val="•"/>
      <w:lvlJc w:val="left"/>
      <w:pPr>
        <w:ind w:left="2880" w:hanging="72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5C72E6"/>
    <w:multiLevelType w:val="hybridMultilevel"/>
    <w:tmpl w:val="5A96AFF6"/>
    <w:lvl w:ilvl="0" w:tplc="82101538">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C23DE"/>
    <w:multiLevelType w:val="hybridMultilevel"/>
    <w:tmpl w:val="834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034A1D"/>
    <w:multiLevelType w:val="hybridMultilevel"/>
    <w:tmpl w:val="F5267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5F7711"/>
    <w:multiLevelType w:val="multilevel"/>
    <w:tmpl w:val="72CC5F54"/>
    <w:lvl w:ilvl="0">
      <w:start w:val="1"/>
      <w:numFmt w:val="decimal"/>
      <w:pStyle w:val="Heading1"/>
      <w:lvlText w:val="%1.0"/>
      <w:lvlJc w:val="left"/>
      <w:pPr>
        <w:tabs>
          <w:tab w:val="num" w:pos="1004"/>
        </w:tabs>
        <w:ind w:left="1004"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5" w15:restartNumberingAfterBreak="0">
    <w:nsid w:val="42CA7426"/>
    <w:multiLevelType w:val="hybridMultilevel"/>
    <w:tmpl w:val="2F44A4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3E037F"/>
    <w:multiLevelType w:val="hybridMultilevel"/>
    <w:tmpl w:val="7E1A4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3E78F4"/>
    <w:multiLevelType w:val="hybridMultilevel"/>
    <w:tmpl w:val="DF2E7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567890"/>
    <w:multiLevelType w:val="multilevel"/>
    <w:tmpl w:val="06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5435C"/>
    <w:multiLevelType w:val="hybridMultilevel"/>
    <w:tmpl w:val="BCC4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6"/>
  </w:num>
  <w:num w:numId="4">
    <w:abstractNumId w:val="19"/>
  </w:num>
  <w:num w:numId="5">
    <w:abstractNumId w:val="10"/>
  </w:num>
  <w:num w:numId="6">
    <w:abstractNumId w:val="16"/>
  </w:num>
  <w:num w:numId="7">
    <w:abstractNumId w:val="8"/>
  </w:num>
  <w:num w:numId="8">
    <w:abstractNumId w:val="5"/>
  </w:num>
  <w:num w:numId="9">
    <w:abstractNumId w:val="15"/>
  </w:num>
  <w:num w:numId="10">
    <w:abstractNumId w:val="12"/>
  </w:num>
  <w:num w:numId="11">
    <w:abstractNumId w:val="20"/>
  </w:num>
  <w:num w:numId="12">
    <w:abstractNumId w:val="7"/>
  </w:num>
  <w:num w:numId="13">
    <w:abstractNumId w:val="1"/>
  </w:num>
  <w:num w:numId="14">
    <w:abstractNumId w:val="11"/>
  </w:num>
  <w:num w:numId="15">
    <w:abstractNumId w:val="2"/>
  </w:num>
  <w:num w:numId="16">
    <w:abstractNumId w:val="9"/>
  </w:num>
  <w:num w:numId="17">
    <w:abstractNumId w:val="18"/>
  </w:num>
  <w:num w:numId="18">
    <w:abstractNumId w:val="0"/>
  </w:num>
  <w:num w:numId="19">
    <w:abstractNumId w:val="13"/>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0EB7"/>
    <w:rsid w:val="00011EA4"/>
    <w:rsid w:val="00012BB9"/>
    <w:rsid w:val="00017943"/>
    <w:rsid w:val="000208DF"/>
    <w:rsid w:val="000231C4"/>
    <w:rsid w:val="00026FC9"/>
    <w:rsid w:val="00027FDD"/>
    <w:rsid w:val="00032A7A"/>
    <w:rsid w:val="00033B9F"/>
    <w:rsid w:val="00035B46"/>
    <w:rsid w:val="0003639A"/>
    <w:rsid w:val="00037397"/>
    <w:rsid w:val="00041BFB"/>
    <w:rsid w:val="000435FC"/>
    <w:rsid w:val="0004369B"/>
    <w:rsid w:val="000439EB"/>
    <w:rsid w:val="00043B1C"/>
    <w:rsid w:val="0005125C"/>
    <w:rsid w:val="000538C8"/>
    <w:rsid w:val="00056D03"/>
    <w:rsid w:val="0006775F"/>
    <w:rsid w:val="00067F9D"/>
    <w:rsid w:val="0007015E"/>
    <w:rsid w:val="000769EF"/>
    <w:rsid w:val="00092EBC"/>
    <w:rsid w:val="00097717"/>
    <w:rsid w:val="000A0CD5"/>
    <w:rsid w:val="000A11A4"/>
    <w:rsid w:val="000A3686"/>
    <w:rsid w:val="000A4E44"/>
    <w:rsid w:val="000B22C9"/>
    <w:rsid w:val="000B3B9D"/>
    <w:rsid w:val="000B5CFB"/>
    <w:rsid w:val="000C0827"/>
    <w:rsid w:val="000C223C"/>
    <w:rsid w:val="000D439A"/>
    <w:rsid w:val="000D4DD7"/>
    <w:rsid w:val="000D736C"/>
    <w:rsid w:val="000E16E8"/>
    <w:rsid w:val="000E1DF0"/>
    <w:rsid w:val="000F14F2"/>
    <w:rsid w:val="000F515D"/>
    <w:rsid w:val="00100C5B"/>
    <w:rsid w:val="001022FA"/>
    <w:rsid w:val="00104CBF"/>
    <w:rsid w:val="00104F93"/>
    <w:rsid w:val="001123BD"/>
    <w:rsid w:val="0011355B"/>
    <w:rsid w:val="001147C0"/>
    <w:rsid w:val="00114E5E"/>
    <w:rsid w:val="0012238B"/>
    <w:rsid w:val="00124E96"/>
    <w:rsid w:val="0012757A"/>
    <w:rsid w:val="001300AA"/>
    <w:rsid w:val="001328A6"/>
    <w:rsid w:val="00134D2F"/>
    <w:rsid w:val="00135BAC"/>
    <w:rsid w:val="00142CC4"/>
    <w:rsid w:val="001453A7"/>
    <w:rsid w:val="00152989"/>
    <w:rsid w:val="001578FC"/>
    <w:rsid w:val="00161D4F"/>
    <w:rsid w:val="00162574"/>
    <w:rsid w:val="00163A96"/>
    <w:rsid w:val="0016466C"/>
    <w:rsid w:val="001654F4"/>
    <w:rsid w:val="00171172"/>
    <w:rsid w:val="00171405"/>
    <w:rsid w:val="00173BE9"/>
    <w:rsid w:val="00177DDC"/>
    <w:rsid w:val="001804CF"/>
    <w:rsid w:val="00184A93"/>
    <w:rsid w:val="0018588C"/>
    <w:rsid w:val="001865C5"/>
    <w:rsid w:val="00191DD4"/>
    <w:rsid w:val="00195263"/>
    <w:rsid w:val="00196F13"/>
    <w:rsid w:val="001A0F88"/>
    <w:rsid w:val="001A1030"/>
    <w:rsid w:val="001A1215"/>
    <w:rsid w:val="001A4305"/>
    <w:rsid w:val="001B3294"/>
    <w:rsid w:val="001B43E3"/>
    <w:rsid w:val="001B56D6"/>
    <w:rsid w:val="001B7B64"/>
    <w:rsid w:val="001B7BA7"/>
    <w:rsid w:val="001C150A"/>
    <w:rsid w:val="001C193D"/>
    <w:rsid w:val="001C5792"/>
    <w:rsid w:val="001C6239"/>
    <w:rsid w:val="001D02DF"/>
    <w:rsid w:val="001D0B63"/>
    <w:rsid w:val="001D6970"/>
    <w:rsid w:val="001E1310"/>
    <w:rsid w:val="001E1437"/>
    <w:rsid w:val="001E3348"/>
    <w:rsid w:val="001F2420"/>
    <w:rsid w:val="00202640"/>
    <w:rsid w:val="00206004"/>
    <w:rsid w:val="0021333A"/>
    <w:rsid w:val="002135D1"/>
    <w:rsid w:val="00213D29"/>
    <w:rsid w:val="0021408E"/>
    <w:rsid w:val="002207C0"/>
    <w:rsid w:val="00224118"/>
    <w:rsid w:val="002266B7"/>
    <w:rsid w:val="00231248"/>
    <w:rsid w:val="00231FCD"/>
    <w:rsid w:val="002366C7"/>
    <w:rsid w:val="00245F2F"/>
    <w:rsid w:val="00246608"/>
    <w:rsid w:val="0024721E"/>
    <w:rsid w:val="00247B11"/>
    <w:rsid w:val="002529C7"/>
    <w:rsid w:val="002540AC"/>
    <w:rsid w:val="00260C2E"/>
    <w:rsid w:val="0026372E"/>
    <w:rsid w:val="00263FE5"/>
    <w:rsid w:val="00266DE3"/>
    <w:rsid w:val="00267771"/>
    <w:rsid w:val="00272E48"/>
    <w:rsid w:val="00272F69"/>
    <w:rsid w:val="00275896"/>
    <w:rsid w:val="002816F4"/>
    <w:rsid w:val="00284747"/>
    <w:rsid w:val="0028491B"/>
    <w:rsid w:val="00285102"/>
    <w:rsid w:val="002874D5"/>
    <w:rsid w:val="00291167"/>
    <w:rsid w:val="00294594"/>
    <w:rsid w:val="002A6712"/>
    <w:rsid w:val="002A69FD"/>
    <w:rsid w:val="002B13F4"/>
    <w:rsid w:val="002B3C14"/>
    <w:rsid w:val="002B586D"/>
    <w:rsid w:val="002B71BD"/>
    <w:rsid w:val="002C21ED"/>
    <w:rsid w:val="002C3ACA"/>
    <w:rsid w:val="002C4123"/>
    <w:rsid w:val="002C7F7B"/>
    <w:rsid w:val="002D0114"/>
    <w:rsid w:val="002E5FB4"/>
    <w:rsid w:val="002F35EE"/>
    <w:rsid w:val="002F4EDC"/>
    <w:rsid w:val="00300749"/>
    <w:rsid w:val="00302CE9"/>
    <w:rsid w:val="00310C1B"/>
    <w:rsid w:val="00317022"/>
    <w:rsid w:val="00320121"/>
    <w:rsid w:val="003249A8"/>
    <w:rsid w:val="00324EEE"/>
    <w:rsid w:val="003372D4"/>
    <w:rsid w:val="00341DB5"/>
    <w:rsid w:val="00344E87"/>
    <w:rsid w:val="00345705"/>
    <w:rsid w:val="00347BB6"/>
    <w:rsid w:val="00347C46"/>
    <w:rsid w:val="00347D7F"/>
    <w:rsid w:val="00354002"/>
    <w:rsid w:val="00355ED8"/>
    <w:rsid w:val="003563D0"/>
    <w:rsid w:val="0036080D"/>
    <w:rsid w:val="00366DBC"/>
    <w:rsid w:val="00372E8B"/>
    <w:rsid w:val="003735E3"/>
    <w:rsid w:val="00375BBC"/>
    <w:rsid w:val="003830D8"/>
    <w:rsid w:val="00387019"/>
    <w:rsid w:val="00391BD3"/>
    <w:rsid w:val="003A0B35"/>
    <w:rsid w:val="003A6227"/>
    <w:rsid w:val="003B5FCD"/>
    <w:rsid w:val="003B7782"/>
    <w:rsid w:val="003D0EE6"/>
    <w:rsid w:val="003D0F5A"/>
    <w:rsid w:val="003D161B"/>
    <w:rsid w:val="003D6C45"/>
    <w:rsid w:val="003E7238"/>
    <w:rsid w:val="003F0198"/>
    <w:rsid w:val="003F4D59"/>
    <w:rsid w:val="003F5E48"/>
    <w:rsid w:val="003F711A"/>
    <w:rsid w:val="00401730"/>
    <w:rsid w:val="00404F55"/>
    <w:rsid w:val="00406713"/>
    <w:rsid w:val="0040685E"/>
    <w:rsid w:val="004138BF"/>
    <w:rsid w:val="00414D6A"/>
    <w:rsid w:val="00423A44"/>
    <w:rsid w:val="004252CD"/>
    <w:rsid w:val="00427AFE"/>
    <w:rsid w:val="0043163C"/>
    <w:rsid w:val="00434B4D"/>
    <w:rsid w:val="004357FE"/>
    <w:rsid w:val="00441287"/>
    <w:rsid w:val="0044295A"/>
    <w:rsid w:val="00443E7F"/>
    <w:rsid w:val="00444D43"/>
    <w:rsid w:val="004506FF"/>
    <w:rsid w:val="00455415"/>
    <w:rsid w:val="00462930"/>
    <w:rsid w:val="004630C7"/>
    <w:rsid w:val="00471971"/>
    <w:rsid w:val="004721B0"/>
    <w:rsid w:val="004751F0"/>
    <w:rsid w:val="00475290"/>
    <w:rsid w:val="00480041"/>
    <w:rsid w:val="00480165"/>
    <w:rsid w:val="004822C3"/>
    <w:rsid w:val="00482683"/>
    <w:rsid w:val="00490442"/>
    <w:rsid w:val="004922A8"/>
    <w:rsid w:val="004A0807"/>
    <w:rsid w:val="004A17BD"/>
    <w:rsid w:val="004A1ACF"/>
    <w:rsid w:val="004A4C05"/>
    <w:rsid w:val="004A5ABA"/>
    <w:rsid w:val="004A7949"/>
    <w:rsid w:val="004B0A37"/>
    <w:rsid w:val="004B2154"/>
    <w:rsid w:val="004B4926"/>
    <w:rsid w:val="004B5354"/>
    <w:rsid w:val="004C74C3"/>
    <w:rsid w:val="004D0725"/>
    <w:rsid w:val="004D2E91"/>
    <w:rsid w:val="004D4B89"/>
    <w:rsid w:val="004D675F"/>
    <w:rsid w:val="004E0A3F"/>
    <w:rsid w:val="004E11A8"/>
    <w:rsid w:val="004E3248"/>
    <w:rsid w:val="004E5BD0"/>
    <w:rsid w:val="004F3163"/>
    <w:rsid w:val="004F5659"/>
    <w:rsid w:val="004F66A7"/>
    <w:rsid w:val="004F72DC"/>
    <w:rsid w:val="004F7F45"/>
    <w:rsid w:val="00503128"/>
    <w:rsid w:val="00503962"/>
    <w:rsid w:val="00503DC1"/>
    <w:rsid w:val="00504330"/>
    <w:rsid w:val="00504DEF"/>
    <w:rsid w:val="00506EE2"/>
    <w:rsid w:val="0051565F"/>
    <w:rsid w:val="005166C2"/>
    <w:rsid w:val="00516CBC"/>
    <w:rsid w:val="00516F72"/>
    <w:rsid w:val="005251CE"/>
    <w:rsid w:val="00526D66"/>
    <w:rsid w:val="005328B0"/>
    <w:rsid w:val="005340CF"/>
    <w:rsid w:val="00534F9B"/>
    <w:rsid w:val="00535123"/>
    <w:rsid w:val="00535786"/>
    <w:rsid w:val="00535B6C"/>
    <w:rsid w:val="00537C04"/>
    <w:rsid w:val="00537DDF"/>
    <w:rsid w:val="005401B6"/>
    <w:rsid w:val="00542A50"/>
    <w:rsid w:val="00552113"/>
    <w:rsid w:val="0055445C"/>
    <w:rsid w:val="00564E4E"/>
    <w:rsid w:val="005755EB"/>
    <w:rsid w:val="005850E0"/>
    <w:rsid w:val="0058657F"/>
    <w:rsid w:val="0059158B"/>
    <w:rsid w:val="005930C2"/>
    <w:rsid w:val="00593456"/>
    <w:rsid w:val="00594FFC"/>
    <w:rsid w:val="005956A7"/>
    <w:rsid w:val="005A4CA3"/>
    <w:rsid w:val="005B073A"/>
    <w:rsid w:val="005B476D"/>
    <w:rsid w:val="005B5CFC"/>
    <w:rsid w:val="005B781C"/>
    <w:rsid w:val="005C6332"/>
    <w:rsid w:val="005D056B"/>
    <w:rsid w:val="005D305C"/>
    <w:rsid w:val="005D32CB"/>
    <w:rsid w:val="005E215D"/>
    <w:rsid w:val="005E24D6"/>
    <w:rsid w:val="005E3669"/>
    <w:rsid w:val="005E47BA"/>
    <w:rsid w:val="005E5EE2"/>
    <w:rsid w:val="005E76E2"/>
    <w:rsid w:val="005F4E9C"/>
    <w:rsid w:val="005F768A"/>
    <w:rsid w:val="005F7942"/>
    <w:rsid w:val="00605123"/>
    <w:rsid w:val="006063C4"/>
    <w:rsid w:val="006077B7"/>
    <w:rsid w:val="006102E1"/>
    <w:rsid w:val="0061042A"/>
    <w:rsid w:val="0061464A"/>
    <w:rsid w:val="00614A39"/>
    <w:rsid w:val="006157B3"/>
    <w:rsid w:val="0062180F"/>
    <w:rsid w:val="006231AA"/>
    <w:rsid w:val="0062553F"/>
    <w:rsid w:val="00627C25"/>
    <w:rsid w:val="006318A3"/>
    <w:rsid w:val="006348A4"/>
    <w:rsid w:val="0063584B"/>
    <w:rsid w:val="00635C24"/>
    <w:rsid w:val="00637552"/>
    <w:rsid w:val="0063793B"/>
    <w:rsid w:val="006405FA"/>
    <w:rsid w:val="00640816"/>
    <w:rsid w:val="00642694"/>
    <w:rsid w:val="00645BA9"/>
    <w:rsid w:val="00651C6D"/>
    <w:rsid w:val="0066291E"/>
    <w:rsid w:val="006678AA"/>
    <w:rsid w:val="00676741"/>
    <w:rsid w:val="00680F41"/>
    <w:rsid w:val="006831CF"/>
    <w:rsid w:val="00693DCF"/>
    <w:rsid w:val="00695E30"/>
    <w:rsid w:val="00697726"/>
    <w:rsid w:val="006A023B"/>
    <w:rsid w:val="006A328F"/>
    <w:rsid w:val="006A4B18"/>
    <w:rsid w:val="006A4B9B"/>
    <w:rsid w:val="006A5899"/>
    <w:rsid w:val="006B0F07"/>
    <w:rsid w:val="006B65D2"/>
    <w:rsid w:val="006B7B26"/>
    <w:rsid w:val="006C15BF"/>
    <w:rsid w:val="006C203D"/>
    <w:rsid w:val="006C5420"/>
    <w:rsid w:val="006C5862"/>
    <w:rsid w:val="006C7AAB"/>
    <w:rsid w:val="006D5DF9"/>
    <w:rsid w:val="006E06F1"/>
    <w:rsid w:val="006E3D24"/>
    <w:rsid w:val="006E517D"/>
    <w:rsid w:val="006E70B7"/>
    <w:rsid w:val="006F1B84"/>
    <w:rsid w:val="006F1D16"/>
    <w:rsid w:val="006F2755"/>
    <w:rsid w:val="006F3B89"/>
    <w:rsid w:val="0070211D"/>
    <w:rsid w:val="00703C4F"/>
    <w:rsid w:val="007044F7"/>
    <w:rsid w:val="00704A3A"/>
    <w:rsid w:val="00713A81"/>
    <w:rsid w:val="00713DCC"/>
    <w:rsid w:val="00724BFF"/>
    <w:rsid w:val="007251A8"/>
    <w:rsid w:val="0072739C"/>
    <w:rsid w:val="0073153B"/>
    <w:rsid w:val="00733A09"/>
    <w:rsid w:val="0073526E"/>
    <w:rsid w:val="00737F66"/>
    <w:rsid w:val="007516A7"/>
    <w:rsid w:val="007525A4"/>
    <w:rsid w:val="00753E81"/>
    <w:rsid w:val="00757986"/>
    <w:rsid w:val="0076206B"/>
    <w:rsid w:val="007637C4"/>
    <w:rsid w:val="007639EE"/>
    <w:rsid w:val="00764144"/>
    <w:rsid w:val="007659DF"/>
    <w:rsid w:val="0076601D"/>
    <w:rsid w:val="007722EC"/>
    <w:rsid w:val="007746CA"/>
    <w:rsid w:val="00783798"/>
    <w:rsid w:val="007840D2"/>
    <w:rsid w:val="00790892"/>
    <w:rsid w:val="00791F8F"/>
    <w:rsid w:val="00793184"/>
    <w:rsid w:val="007937AB"/>
    <w:rsid w:val="007946B2"/>
    <w:rsid w:val="007966D9"/>
    <w:rsid w:val="007A1821"/>
    <w:rsid w:val="007A2913"/>
    <w:rsid w:val="007A32AC"/>
    <w:rsid w:val="007B13BB"/>
    <w:rsid w:val="007B161F"/>
    <w:rsid w:val="007C2913"/>
    <w:rsid w:val="007C56EB"/>
    <w:rsid w:val="007C7E47"/>
    <w:rsid w:val="007D41E2"/>
    <w:rsid w:val="007D519E"/>
    <w:rsid w:val="007D56DF"/>
    <w:rsid w:val="007D5E18"/>
    <w:rsid w:val="007D7046"/>
    <w:rsid w:val="007E1960"/>
    <w:rsid w:val="007F4162"/>
    <w:rsid w:val="007F43A2"/>
    <w:rsid w:val="007F791B"/>
    <w:rsid w:val="007F7E08"/>
    <w:rsid w:val="00800869"/>
    <w:rsid w:val="00802F8F"/>
    <w:rsid w:val="00804CED"/>
    <w:rsid w:val="008125EE"/>
    <w:rsid w:val="00812BDE"/>
    <w:rsid w:val="00813974"/>
    <w:rsid w:val="00820D76"/>
    <w:rsid w:val="008314B2"/>
    <w:rsid w:val="008329E0"/>
    <w:rsid w:val="008378DE"/>
    <w:rsid w:val="00837903"/>
    <w:rsid w:val="00842B30"/>
    <w:rsid w:val="008523FC"/>
    <w:rsid w:val="00853959"/>
    <w:rsid w:val="00855808"/>
    <w:rsid w:val="0086000E"/>
    <w:rsid w:val="008626FA"/>
    <w:rsid w:val="0086653D"/>
    <w:rsid w:val="00866A52"/>
    <w:rsid w:val="00866AFE"/>
    <w:rsid w:val="00866C8D"/>
    <w:rsid w:val="00870468"/>
    <w:rsid w:val="00872560"/>
    <w:rsid w:val="008750E3"/>
    <w:rsid w:val="00875E85"/>
    <w:rsid w:val="008772B3"/>
    <w:rsid w:val="00882847"/>
    <w:rsid w:val="00893415"/>
    <w:rsid w:val="00894132"/>
    <w:rsid w:val="0089511E"/>
    <w:rsid w:val="0089713C"/>
    <w:rsid w:val="008A077B"/>
    <w:rsid w:val="008A538F"/>
    <w:rsid w:val="008B7C47"/>
    <w:rsid w:val="008B7C70"/>
    <w:rsid w:val="008D1B75"/>
    <w:rsid w:val="008D2E30"/>
    <w:rsid w:val="008D45E5"/>
    <w:rsid w:val="008D4AE7"/>
    <w:rsid w:val="008D7AC3"/>
    <w:rsid w:val="008E1D39"/>
    <w:rsid w:val="008E3867"/>
    <w:rsid w:val="008E445D"/>
    <w:rsid w:val="008E6601"/>
    <w:rsid w:val="008F240C"/>
    <w:rsid w:val="00903A70"/>
    <w:rsid w:val="00903CC9"/>
    <w:rsid w:val="009057AD"/>
    <w:rsid w:val="00905E98"/>
    <w:rsid w:val="00906D0E"/>
    <w:rsid w:val="009120A2"/>
    <w:rsid w:val="00913750"/>
    <w:rsid w:val="00917A44"/>
    <w:rsid w:val="00917EB1"/>
    <w:rsid w:val="00923803"/>
    <w:rsid w:val="009255ED"/>
    <w:rsid w:val="0092602F"/>
    <w:rsid w:val="00927DA9"/>
    <w:rsid w:val="00933784"/>
    <w:rsid w:val="0094098F"/>
    <w:rsid w:val="00941507"/>
    <w:rsid w:val="0094297A"/>
    <w:rsid w:val="00943030"/>
    <w:rsid w:val="009451C6"/>
    <w:rsid w:val="009501E1"/>
    <w:rsid w:val="00950ADB"/>
    <w:rsid w:val="0095285C"/>
    <w:rsid w:val="0095306B"/>
    <w:rsid w:val="0095432E"/>
    <w:rsid w:val="0095558F"/>
    <w:rsid w:val="009561F0"/>
    <w:rsid w:val="009610A4"/>
    <w:rsid w:val="00965B8F"/>
    <w:rsid w:val="00971388"/>
    <w:rsid w:val="00971AC2"/>
    <w:rsid w:val="009834EB"/>
    <w:rsid w:val="00984DF0"/>
    <w:rsid w:val="0098590C"/>
    <w:rsid w:val="00987100"/>
    <w:rsid w:val="009933B0"/>
    <w:rsid w:val="00993B28"/>
    <w:rsid w:val="0099694F"/>
    <w:rsid w:val="00997347"/>
    <w:rsid w:val="00997AF5"/>
    <w:rsid w:val="009A3A42"/>
    <w:rsid w:val="009A655D"/>
    <w:rsid w:val="009A6E95"/>
    <w:rsid w:val="009B2BCC"/>
    <w:rsid w:val="009B421B"/>
    <w:rsid w:val="009C3246"/>
    <w:rsid w:val="009C382B"/>
    <w:rsid w:val="009C5FF5"/>
    <w:rsid w:val="009C64C2"/>
    <w:rsid w:val="009E1DBE"/>
    <w:rsid w:val="009E7CE5"/>
    <w:rsid w:val="009F1DA8"/>
    <w:rsid w:val="009F3E4B"/>
    <w:rsid w:val="009F45D6"/>
    <w:rsid w:val="009F46F5"/>
    <w:rsid w:val="00A01132"/>
    <w:rsid w:val="00A01EEA"/>
    <w:rsid w:val="00A0334A"/>
    <w:rsid w:val="00A0463F"/>
    <w:rsid w:val="00A04D97"/>
    <w:rsid w:val="00A10342"/>
    <w:rsid w:val="00A1142D"/>
    <w:rsid w:val="00A12471"/>
    <w:rsid w:val="00A14384"/>
    <w:rsid w:val="00A17C74"/>
    <w:rsid w:val="00A25148"/>
    <w:rsid w:val="00A260C2"/>
    <w:rsid w:val="00A30AE6"/>
    <w:rsid w:val="00A312BF"/>
    <w:rsid w:val="00A315CF"/>
    <w:rsid w:val="00A32271"/>
    <w:rsid w:val="00A325E3"/>
    <w:rsid w:val="00A33C7D"/>
    <w:rsid w:val="00A370C3"/>
    <w:rsid w:val="00A429A3"/>
    <w:rsid w:val="00A4383E"/>
    <w:rsid w:val="00A53834"/>
    <w:rsid w:val="00A673B4"/>
    <w:rsid w:val="00A67C6A"/>
    <w:rsid w:val="00A74B14"/>
    <w:rsid w:val="00A7767B"/>
    <w:rsid w:val="00A81170"/>
    <w:rsid w:val="00A825E8"/>
    <w:rsid w:val="00A8736C"/>
    <w:rsid w:val="00A91955"/>
    <w:rsid w:val="00AA12D6"/>
    <w:rsid w:val="00AA27F9"/>
    <w:rsid w:val="00AA7C5A"/>
    <w:rsid w:val="00AB2C8A"/>
    <w:rsid w:val="00AC7669"/>
    <w:rsid w:val="00AE2C1C"/>
    <w:rsid w:val="00AE49C3"/>
    <w:rsid w:val="00AE7DAF"/>
    <w:rsid w:val="00AF7467"/>
    <w:rsid w:val="00B01913"/>
    <w:rsid w:val="00B06CC3"/>
    <w:rsid w:val="00B1146C"/>
    <w:rsid w:val="00B227FA"/>
    <w:rsid w:val="00B40532"/>
    <w:rsid w:val="00B42FEF"/>
    <w:rsid w:val="00B4480F"/>
    <w:rsid w:val="00B46103"/>
    <w:rsid w:val="00B53FD4"/>
    <w:rsid w:val="00B56151"/>
    <w:rsid w:val="00B61F62"/>
    <w:rsid w:val="00B67980"/>
    <w:rsid w:val="00B75079"/>
    <w:rsid w:val="00B7792C"/>
    <w:rsid w:val="00B829A5"/>
    <w:rsid w:val="00B863AC"/>
    <w:rsid w:val="00B96410"/>
    <w:rsid w:val="00BA24BC"/>
    <w:rsid w:val="00BA24FE"/>
    <w:rsid w:val="00BA6594"/>
    <w:rsid w:val="00BB1371"/>
    <w:rsid w:val="00BB55D0"/>
    <w:rsid w:val="00BB61A2"/>
    <w:rsid w:val="00BB7433"/>
    <w:rsid w:val="00BB7781"/>
    <w:rsid w:val="00BC0DE5"/>
    <w:rsid w:val="00BC3A24"/>
    <w:rsid w:val="00BC6033"/>
    <w:rsid w:val="00BD1D42"/>
    <w:rsid w:val="00BD2E44"/>
    <w:rsid w:val="00BD70ED"/>
    <w:rsid w:val="00BE288D"/>
    <w:rsid w:val="00BE2C1A"/>
    <w:rsid w:val="00BE5E62"/>
    <w:rsid w:val="00BF3163"/>
    <w:rsid w:val="00BF59C5"/>
    <w:rsid w:val="00BF6BD4"/>
    <w:rsid w:val="00C05769"/>
    <w:rsid w:val="00C10ADD"/>
    <w:rsid w:val="00C166DF"/>
    <w:rsid w:val="00C2268B"/>
    <w:rsid w:val="00C25F2A"/>
    <w:rsid w:val="00C31D6A"/>
    <w:rsid w:val="00C34B50"/>
    <w:rsid w:val="00C403D7"/>
    <w:rsid w:val="00C40F00"/>
    <w:rsid w:val="00C41452"/>
    <w:rsid w:val="00C511FD"/>
    <w:rsid w:val="00C56DBB"/>
    <w:rsid w:val="00C576C6"/>
    <w:rsid w:val="00C600C3"/>
    <w:rsid w:val="00C607FA"/>
    <w:rsid w:val="00C60E0C"/>
    <w:rsid w:val="00C63272"/>
    <w:rsid w:val="00C66162"/>
    <w:rsid w:val="00C67F17"/>
    <w:rsid w:val="00C72DB6"/>
    <w:rsid w:val="00C73872"/>
    <w:rsid w:val="00C73C4D"/>
    <w:rsid w:val="00C74647"/>
    <w:rsid w:val="00C7478F"/>
    <w:rsid w:val="00C7671E"/>
    <w:rsid w:val="00C81A4F"/>
    <w:rsid w:val="00C8580F"/>
    <w:rsid w:val="00C86C9F"/>
    <w:rsid w:val="00C870E2"/>
    <w:rsid w:val="00C91298"/>
    <w:rsid w:val="00C9352E"/>
    <w:rsid w:val="00C975D4"/>
    <w:rsid w:val="00CA10A1"/>
    <w:rsid w:val="00CA1CCD"/>
    <w:rsid w:val="00CA3A57"/>
    <w:rsid w:val="00CA3FA1"/>
    <w:rsid w:val="00CB1A76"/>
    <w:rsid w:val="00CB24FE"/>
    <w:rsid w:val="00CB4F46"/>
    <w:rsid w:val="00CC25AB"/>
    <w:rsid w:val="00CC4718"/>
    <w:rsid w:val="00CC4C52"/>
    <w:rsid w:val="00CD03C2"/>
    <w:rsid w:val="00CD14CB"/>
    <w:rsid w:val="00CD34A5"/>
    <w:rsid w:val="00CD5422"/>
    <w:rsid w:val="00CD7F79"/>
    <w:rsid w:val="00CE5BC4"/>
    <w:rsid w:val="00CF5C1C"/>
    <w:rsid w:val="00CF6A99"/>
    <w:rsid w:val="00D03A6B"/>
    <w:rsid w:val="00D0660E"/>
    <w:rsid w:val="00D06ED2"/>
    <w:rsid w:val="00D1002A"/>
    <w:rsid w:val="00D20236"/>
    <w:rsid w:val="00D22BE1"/>
    <w:rsid w:val="00D24F8E"/>
    <w:rsid w:val="00D25CE8"/>
    <w:rsid w:val="00D25FEC"/>
    <w:rsid w:val="00D317A5"/>
    <w:rsid w:val="00D32BE9"/>
    <w:rsid w:val="00D3377A"/>
    <w:rsid w:val="00D33AB1"/>
    <w:rsid w:val="00D352D1"/>
    <w:rsid w:val="00D406BD"/>
    <w:rsid w:val="00D45F7E"/>
    <w:rsid w:val="00D51A02"/>
    <w:rsid w:val="00D62F0A"/>
    <w:rsid w:val="00D64ABA"/>
    <w:rsid w:val="00D70D6F"/>
    <w:rsid w:val="00D73596"/>
    <w:rsid w:val="00D770ED"/>
    <w:rsid w:val="00D823E8"/>
    <w:rsid w:val="00D826E5"/>
    <w:rsid w:val="00D907A8"/>
    <w:rsid w:val="00D932CD"/>
    <w:rsid w:val="00D962E1"/>
    <w:rsid w:val="00D966D7"/>
    <w:rsid w:val="00D96BD5"/>
    <w:rsid w:val="00DA0FF0"/>
    <w:rsid w:val="00DA2714"/>
    <w:rsid w:val="00DA3F97"/>
    <w:rsid w:val="00DA5A9E"/>
    <w:rsid w:val="00DB4A08"/>
    <w:rsid w:val="00DD1755"/>
    <w:rsid w:val="00DD4C03"/>
    <w:rsid w:val="00DD6C41"/>
    <w:rsid w:val="00DE3E67"/>
    <w:rsid w:val="00DE5B98"/>
    <w:rsid w:val="00DE6CE0"/>
    <w:rsid w:val="00DE758B"/>
    <w:rsid w:val="00DF00D7"/>
    <w:rsid w:val="00DF2259"/>
    <w:rsid w:val="00DF3092"/>
    <w:rsid w:val="00DF4E58"/>
    <w:rsid w:val="00DF6F05"/>
    <w:rsid w:val="00DF78E8"/>
    <w:rsid w:val="00E02EF6"/>
    <w:rsid w:val="00E0362F"/>
    <w:rsid w:val="00E03B97"/>
    <w:rsid w:val="00E05870"/>
    <w:rsid w:val="00E149A3"/>
    <w:rsid w:val="00E15760"/>
    <w:rsid w:val="00E16BC9"/>
    <w:rsid w:val="00E17506"/>
    <w:rsid w:val="00E236A4"/>
    <w:rsid w:val="00E273A1"/>
    <w:rsid w:val="00E27688"/>
    <w:rsid w:val="00E3448D"/>
    <w:rsid w:val="00E36DB4"/>
    <w:rsid w:val="00E405E0"/>
    <w:rsid w:val="00E41A31"/>
    <w:rsid w:val="00E47A3A"/>
    <w:rsid w:val="00E51455"/>
    <w:rsid w:val="00E516FF"/>
    <w:rsid w:val="00E52F9B"/>
    <w:rsid w:val="00E5325D"/>
    <w:rsid w:val="00E53F29"/>
    <w:rsid w:val="00E55A89"/>
    <w:rsid w:val="00E60A3F"/>
    <w:rsid w:val="00E62FD4"/>
    <w:rsid w:val="00E637DB"/>
    <w:rsid w:val="00E639DB"/>
    <w:rsid w:val="00E71560"/>
    <w:rsid w:val="00E81F3C"/>
    <w:rsid w:val="00E83469"/>
    <w:rsid w:val="00E91C58"/>
    <w:rsid w:val="00E97A58"/>
    <w:rsid w:val="00EA280E"/>
    <w:rsid w:val="00EA28A2"/>
    <w:rsid w:val="00EA36FD"/>
    <w:rsid w:val="00EB71DD"/>
    <w:rsid w:val="00EB7479"/>
    <w:rsid w:val="00EC3C62"/>
    <w:rsid w:val="00EC5CC4"/>
    <w:rsid w:val="00EC7697"/>
    <w:rsid w:val="00EE34BB"/>
    <w:rsid w:val="00EE6C7F"/>
    <w:rsid w:val="00EF03A1"/>
    <w:rsid w:val="00EF353D"/>
    <w:rsid w:val="00F02FD8"/>
    <w:rsid w:val="00F0632D"/>
    <w:rsid w:val="00F06591"/>
    <w:rsid w:val="00F10922"/>
    <w:rsid w:val="00F1492C"/>
    <w:rsid w:val="00F2370E"/>
    <w:rsid w:val="00F4078C"/>
    <w:rsid w:val="00F40CB5"/>
    <w:rsid w:val="00F4416F"/>
    <w:rsid w:val="00F449B8"/>
    <w:rsid w:val="00F44C9E"/>
    <w:rsid w:val="00F454F1"/>
    <w:rsid w:val="00F45844"/>
    <w:rsid w:val="00F45CD9"/>
    <w:rsid w:val="00F46BA8"/>
    <w:rsid w:val="00F51053"/>
    <w:rsid w:val="00F5639C"/>
    <w:rsid w:val="00F6571D"/>
    <w:rsid w:val="00F71D43"/>
    <w:rsid w:val="00F76453"/>
    <w:rsid w:val="00F83C50"/>
    <w:rsid w:val="00F85C88"/>
    <w:rsid w:val="00F87843"/>
    <w:rsid w:val="00F9002E"/>
    <w:rsid w:val="00F92246"/>
    <w:rsid w:val="00F92794"/>
    <w:rsid w:val="00FA0B5E"/>
    <w:rsid w:val="00FA3027"/>
    <w:rsid w:val="00FA3E6A"/>
    <w:rsid w:val="00FC1AF8"/>
    <w:rsid w:val="00FC3F1E"/>
    <w:rsid w:val="00FD2744"/>
    <w:rsid w:val="00FD7859"/>
    <w:rsid w:val="00FE289B"/>
    <w:rsid w:val="00FE397F"/>
    <w:rsid w:val="00FF2585"/>
    <w:rsid w:val="00FF3450"/>
    <w:rsid w:val="00FF47B8"/>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7DBCDA"/>
  <w15:docId w15:val="{2E821B1B-6F37-4455-8666-DC521706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6F05"/>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tabs>
        <w:tab w:val="clear" w:pos="1004"/>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character" w:styleId="CommentReference">
    <w:name w:val="annotation reference"/>
    <w:basedOn w:val="DefaultParagraphFont"/>
    <w:uiPriority w:val="99"/>
    <w:semiHidden/>
    <w:unhideWhenUsed/>
    <w:rsid w:val="009610A4"/>
    <w:rPr>
      <w:sz w:val="16"/>
      <w:szCs w:val="16"/>
    </w:rPr>
  </w:style>
  <w:style w:type="paragraph" w:styleId="CommentText">
    <w:name w:val="annotation text"/>
    <w:basedOn w:val="Normal"/>
    <w:link w:val="CommentTextChar"/>
    <w:uiPriority w:val="99"/>
    <w:semiHidden/>
    <w:unhideWhenUsed/>
    <w:rsid w:val="009610A4"/>
    <w:rPr>
      <w:szCs w:val="20"/>
    </w:rPr>
  </w:style>
  <w:style w:type="character" w:customStyle="1" w:styleId="CommentTextChar">
    <w:name w:val="Comment Text Char"/>
    <w:basedOn w:val="DefaultParagraphFont"/>
    <w:link w:val="CommentText"/>
    <w:uiPriority w:val="99"/>
    <w:semiHidden/>
    <w:rsid w:val="009610A4"/>
    <w:rPr>
      <w:rFonts w:ascii="Arial" w:hAnsi="Arial"/>
      <w:sz w:val="20"/>
      <w:szCs w:val="20"/>
    </w:rPr>
  </w:style>
  <w:style w:type="character" w:customStyle="1" w:styleId="st">
    <w:name w:val="st"/>
    <w:basedOn w:val="DefaultParagraphFont"/>
    <w:rsid w:val="006F3B89"/>
  </w:style>
  <w:style w:type="table" w:customStyle="1" w:styleId="TableGrid1">
    <w:name w:val="Table Grid1"/>
    <w:basedOn w:val="TableNormal"/>
    <w:next w:val="TableGrid"/>
    <w:uiPriority w:val="59"/>
    <w:rsid w:val="00BE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1FD"/>
    <w:pPr>
      <w:ind w:left="720"/>
      <w:contextualSpacing/>
    </w:pPr>
  </w:style>
  <w:style w:type="character" w:styleId="FollowedHyperlink">
    <w:name w:val="FollowedHyperlink"/>
    <w:basedOn w:val="DefaultParagraphFont"/>
    <w:uiPriority w:val="99"/>
    <w:semiHidden/>
    <w:unhideWhenUsed/>
    <w:rsid w:val="00FD2744"/>
    <w:rPr>
      <w:color w:val="800080" w:themeColor="followedHyperlink"/>
      <w:u w:val="single"/>
    </w:rPr>
  </w:style>
  <w:style w:type="character" w:styleId="PlaceholderText">
    <w:name w:val="Placeholder Text"/>
    <w:basedOn w:val="DefaultParagraphFont"/>
    <w:uiPriority w:val="99"/>
    <w:semiHidden/>
    <w:rsid w:val="009834EB"/>
    <w:rPr>
      <w:color w:val="808080"/>
    </w:rPr>
  </w:style>
  <w:style w:type="paragraph" w:styleId="CommentSubject">
    <w:name w:val="annotation subject"/>
    <w:basedOn w:val="CommentText"/>
    <w:next w:val="CommentText"/>
    <w:link w:val="CommentSubjectChar"/>
    <w:uiPriority w:val="99"/>
    <w:semiHidden/>
    <w:unhideWhenUsed/>
    <w:rsid w:val="00A7767B"/>
    <w:rPr>
      <w:b/>
      <w:bCs/>
    </w:rPr>
  </w:style>
  <w:style w:type="character" w:customStyle="1" w:styleId="CommentSubjectChar">
    <w:name w:val="Comment Subject Char"/>
    <w:basedOn w:val="CommentTextChar"/>
    <w:link w:val="CommentSubject"/>
    <w:uiPriority w:val="99"/>
    <w:semiHidden/>
    <w:rsid w:val="00A7767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284628637">
      <w:bodyDiv w:val="1"/>
      <w:marLeft w:val="0"/>
      <w:marRight w:val="0"/>
      <w:marTop w:val="0"/>
      <w:marBottom w:val="0"/>
      <w:divBdr>
        <w:top w:val="none" w:sz="0" w:space="0" w:color="auto"/>
        <w:left w:val="none" w:sz="0" w:space="0" w:color="auto"/>
        <w:bottom w:val="none" w:sz="0" w:space="0" w:color="auto"/>
        <w:right w:val="none" w:sz="0" w:space="0" w:color="auto"/>
      </w:divBdr>
    </w:div>
    <w:div w:id="398555082">
      <w:bodyDiv w:val="1"/>
      <w:marLeft w:val="0"/>
      <w:marRight w:val="0"/>
      <w:marTop w:val="0"/>
      <w:marBottom w:val="0"/>
      <w:divBdr>
        <w:top w:val="none" w:sz="0" w:space="0" w:color="auto"/>
        <w:left w:val="none" w:sz="0" w:space="0" w:color="auto"/>
        <w:bottom w:val="none" w:sz="0" w:space="0" w:color="auto"/>
        <w:right w:val="none" w:sz="0" w:space="0" w:color="auto"/>
      </w:divBdr>
    </w:div>
    <w:div w:id="399595074">
      <w:bodyDiv w:val="1"/>
      <w:marLeft w:val="0"/>
      <w:marRight w:val="0"/>
      <w:marTop w:val="0"/>
      <w:marBottom w:val="0"/>
      <w:divBdr>
        <w:top w:val="none" w:sz="0" w:space="0" w:color="auto"/>
        <w:left w:val="none" w:sz="0" w:space="0" w:color="auto"/>
        <w:bottom w:val="none" w:sz="0" w:space="0" w:color="auto"/>
        <w:right w:val="none" w:sz="0" w:space="0" w:color="auto"/>
      </w:divBdr>
    </w:div>
    <w:div w:id="616719888">
      <w:bodyDiv w:val="1"/>
      <w:marLeft w:val="0"/>
      <w:marRight w:val="0"/>
      <w:marTop w:val="0"/>
      <w:marBottom w:val="0"/>
      <w:divBdr>
        <w:top w:val="none" w:sz="0" w:space="0" w:color="auto"/>
        <w:left w:val="none" w:sz="0" w:space="0" w:color="auto"/>
        <w:bottom w:val="none" w:sz="0" w:space="0" w:color="auto"/>
        <w:right w:val="none" w:sz="0" w:space="0" w:color="auto"/>
      </w:divBdr>
    </w:div>
    <w:div w:id="1127623925">
      <w:bodyDiv w:val="1"/>
      <w:marLeft w:val="0"/>
      <w:marRight w:val="0"/>
      <w:marTop w:val="0"/>
      <w:marBottom w:val="0"/>
      <w:divBdr>
        <w:top w:val="none" w:sz="0" w:space="0" w:color="auto"/>
        <w:left w:val="none" w:sz="0" w:space="0" w:color="auto"/>
        <w:bottom w:val="none" w:sz="0" w:space="0" w:color="auto"/>
        <w:right w:val="none" w:sz="0" w:space="0" w:color="auto"/>
      </w:divBdr>
    </w:div>
    <w:div w:id="20056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ook@p-r-i.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akins@p-r-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nixon@p-r-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sbitt@p-r-i.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1DD1ACA1F0848A033D387C585A361" ma:contentTypeVersion="0" ma:contentTypeDescription="Create a new document." ma:contentTypeScope="" ma:versionID="40c16b1e4c7802f26a86ee942f01b5ac">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43D4-C556-4176-96CF-B6C7CDC3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4CB44-C53A-450D-B0EE-522C491A001A}">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57A5E11D-6A7D-44C9-BBB5-851CE451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5732</Words>
  <Characters>32678</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CP Minutes WC Version</vt:lpstr>
    </vt:vector>
  </TitlesOfParts>
  <Company>SAE International</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Minutes WC Version</dc:title>
  <dc:creator>Nigel Cook</dc:creator>
  <cp:keywords>Non Technical</cp:keywords>
  <cp:lastModifiedBy>Joyce Benkart</cp:lastModifiedBy>
  <cp:revision>2</cp:revision>
  <dcterms:created xsi:type="dcterms:W3CDTF">2016-06-30T16:39:00Z</dcterms:created>
  <dcterms:modified xsi:type="dcterms:W3CDTF">2016-06-30T16:39:00Z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0x0101000F31DD1ACA1F0848A033D387C585A361</vt:lpwstr>
  </property>
  <property fmtid="{D5CDD505-2E9C-101B-9397-08002B2CF9AE}" pid="3" name="TitusGUID">
    <vt:lpwstr>112eb1b1-63ee-44fd-8cdd-eb8dd686ec85</vt:lpwstr>
  </property>
  <property fmtid="{D5CDD505-2E9C-101B-9397-08002B2CF9AE}" pid="4" name="UTCTechnicalData">
    <vt:lpwstr>No</vt:lpwstr>
  </property>
  <property fmtid="{D5CDD505-2E9C-101B-9397-08002B2CF9AE}" pid="5" name="UTCTechnicalDataKeyword">
    <vt:lpwstr>Non Technical</vt:lpwstr>
  </property>
</Properties>
</file>