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73E35" w14:textId="77777777" w:rsidR="00E713A8" w:rsidRPr="00E713A8" w:rsidRDefault="00FA0B5E" w:rsidP="00E713A8">
      <w:pPr>
        <w:pStyle w:val="Heading2"/>
        <w:numPr>
          <w:ilvl w:val="0"/>
          <w:numId w:val="0"/>
        </w:numPr>
        <w:spacing w:after="0"/>
        <w:ind w:left="720" w:hanging="720"/>
        <w:jc w:val="center"/>
        <w:rPr>
          <w:b/>
        </w:rPr>
      </w:pPr>
      <w:bookmarkStart w:id="0" w:name="_GoBack"/>
      <w:bookmarkEnd w:id="0"/>
      <w:r w:rsidRPr="00E713A8">
        <w:rPr>
          <w:b/>
        </w:rPr>
        <w:t>UNCONFIRMED MINUTES</w:t>
      </w:r>
    </w:p>
    <w:p w14:paraId="7286D6AA" w14:textId="089F601F" w:rsidR="00FA0B5E" w:rsidRPr="00FC3F1E" w:rsidRDefault="00C80960" w:rsidP="00E713A8">
      <w:pPr>
        <w:pStyle w:val="Heading2"/>
        <w:numPr>
          <w:ilvl w:val="0"/>
          <w:numId w:val="0"/>
        </w:numPr>
        <w:spacing w:after="0"/>
        <w:ind w:left="720" w:hanging="720"/>
        <w:jc w:val="center"/>
        <w:rPr>
          <w:b/>
        </w:rPr>
      </w:pPr>
      <w:r>
        <w:rPr>
          <w:b/>
        </w:rPr>
        <w:t>JUNE</w:t>
      </w:r>
      <w:r w:rsidR="009610A4">
        <w:rPr>
          <w:b/>
        </w:rPr>
        <w:t xml:space="preserve"> </w:t>
      </w:r>
      <w:r w:rsidR="00853959" w:rsidRPr="00853959">
        <w:rPr>
          <w:b/>
        </w:rPr>
        <w:t>2</w:t>
      </w:r>
      <w:r>
        <w:rPr>
          <w:b/>
        </w:rPr>
        <w:t>0</w:t>
      </w:r>
      <w:r w:rsidR="00853959" w:rsidRPr="00853959">
        <w:rPr>
          <w:b/>
        </w:rPr>
        <w:t>-2</w:t>
      </w:r>
      <w:r>
        <w:rPr>
          <w:b/>
        </w:rPr>
        <w:t>3</w:t>
      </w:r>
      <w:r w:rsidR="00853959" w:rsidRPr="00853959">
        <w:rPr>
          <w:b/>
        </w:rPr>
        <w:t>, 2016</w:t>
      </w:r>
    </w:p>
    <w:p w14:paraId="7286D6AB" w14:textId="77777777" w:rsidR="00FA0B5E" w:rsidRDefault="00C80960" w:rsidP="00E713A8">
      <w:pPr>
        <w:jc w:val="center"/>
        <w:rPr>
          <w:b/>
        </w:rPr>
      </w:pPr>
      <w:r>
        <w:rPr>
          <w:b/>
        </w:rPr>
        <w:t>LONDON, ENGLAND</w:t>
      </w:r>
    </w:p>
    <w:p w14:paraId="7286D6AC" w14:textId="77777777" w:rsidR="009610A4" w:rsidRPr="009610A4" w:rsidRDefault="009610A4" w:rsidP="009610A4">
      <w:pPr>
        <w:rPr>
          <w:b/>
        </w:rPr>
      </w:pPr>
      <w:r w:rsidRPr="009610A4">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7286D6AD" w14:textId="0714DC46" w:rsidR="009610A4" w:rsidRPr="009610A4" w:rsidRDefault="009610A4" w:rsidP="009610A4">
      <w:pPr>
        <w:rPr>
          <w:b/>
          <w:u w:val="single"/>
        </w:rPr>
      </w:pPr>
      <w:r w:rsidRPr="009610A4">
        <w:rPr>
          <w:b/>
          <w:u w:val="single"/>
        </w:rPr>
        <w:t xml:space="preserve">MONDAY, </w:t>
      </w:r>
      <w:r w:rsidR="00C80960">
        <w:rPr>
          <w:b/>
          <w:u w:val="single"/>
        </w:rPr>
        <w:t>JU</w:t>
      </w:r>
      <w:r w:rsidR="00E713A8">
        <w:rPr>
          <w:b/>
          <w:u w:val="single"/>
        </w:rPr>
        <w:t>N</w:t>
      </w:r>
      <w:r w:rsidR="00C80960">
        <w:rPr>
          <w:b/>
          <w:u w:val="single"/>
        </w:rPr>
        <w:t>E 20</w:t>
      </w:r>
      <w:r w:rsidR="006157B3">
        <w:rPr>
          <w:b/>
          <w:u w:val="single"/>
        </w:rPr>
        <w:t xml:space="preserve"> </w:t>
      </w:r>
      <w:r w:rsidR="006157B3" w:rsidRPr="009610A4">
        <w:rPr>
          <w:b/>
          <w:u w:val="single"/>
        </w:rPr>
        <w:t>to</w:t>
      </w:r>
      <w:r w:rsidRPr="009610A4">
        <w:rPr>
          <w:b/>
          <w:u w:val="single"/>
        </w:rPr>
        <w:t xml:space="preserve"> THURSDAY, </w:t>
      </w:r>
      <w:r w:rsidR="00C80960">
        <w:rPr>
          <w:b/>
          <w:u w:val="single"/>
        </w:rPr>
        <w:t>JUNE 23</w:t>
      </w:r>
      <w:r w:rsidRPr="009610A4">
        <w:rPr>
          <w:b/>
          <w:u w:val="single"/>
        </w:rPr>
        <w:t xml:space="preserve"> </w:t>
      </w:r>
    </w:p>
    <w:p w14:paraId="7286D6AE"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OPENING COMMENTS</w:t>
      </w:r>
    </w:p>
    <w:p w14:paraId="7286D6AF" w14:textId="77777777" w:rsidR="009610A4" w:rsidRPr="009610A4" w:rsidRDefault="009610A4" w:rsidP="00E5325D">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Call to Order / Quorum Check</w:t>
      </w:r>
    </w:p>
    <w:p w14:paraId="7286D6B0" w14:textId="1204C733" w:rsidR="009610A4" w:rsidRPr="009610A4" w:rsidRDefault="009610A4" w:rsidP="009610A4">
      <w:pPr>
        <w:ind w:left="709"/>
      </w:pPr>
      <w:r w:rsidRPr="009610A4">
        <w:t xml:space="preserve">The Chemical Processing </w:t>
      </w:r>
      <w:r w:rsidR="00F82B6D">
        <w:t xml:space="preserve">(CP) </w:t>
      </w:r>
      <w:r w:rsidRPr="009610A4">
        <w:t xml:space="preserve">Task Group (TG) was called to order at </w:t>
      </w:r>
      <w:r w:rsidR="00853959">
        <w:t>9</w:t>
      </w:r>
      <w:r w:rsidRPr="009610A4">
        <w:t xml:space="preserve">:00 a.m., </w:t>
      </w:r>
      <w:r w:rsidR="00516F72">
        <w:t>2</w:t>
      </w:r>
      <w:r w:rsidR="00E6572D">
        <w:t>0</w:t>
      </w:r>
      <w:r w:rsidRPr="009610A4">
        <w:t>-</w:t>
      </w:r>
      <w:r w:rsidR="00E6572D">
        <w:t>Jun</w:t>
      </w:r>
      <w:r w:rsidRPr="009610A4">
        <w:t>-201</w:t>
      </w:r>
      <w:r w:rsidR="00853959">
        <w:t>6</w:t>
      </w:r>
      <w:r w:rsidRPr="009610A4">
        <w:t>.</w:t>
      </w:r>
    </w:p>
    <w:p w14:paraId="7286D6B1" w14:textId="77777777" w:rsidR="009610A4" w:rsidRPr="009610A4" w:rsidRDefault="009610A4" w:rsidP="009610A4">
      <w:pPr>
        <w:ind w:left="709"/>
      </w:pPr>
      <w:r w:rsidRPr="009610A4">
        <w:t>It was verified that only SUBSCRIBER MEMBERS were in attendance during the closed portion of the meeting.</w:t>
      </w:r>
    </w:p>
    <w:p w14:paraId="7286D6B2" w14:textId="77777777" w:rsidR="009610A4" w:rsidRPr="009610A4" w:rsidRDefault="009610A4" w:rsidP="009610A4">
      <w:pPr>
        <w:ind w:left="709"/>
      </w:pPr>
      <w:r w:rsidRPr="009610A4">
        <w:t>A quorum was established with the following representatives in attendance:</w:t>
      </w:r>
    </w:p>
    <w:p w14:paraId="7286D6B3" w14:textId="77777777" w:rsidR="009610A4" w:rsidRPr="009610A4" w:rsidRDefault="009610A4" w:rsidP="009610A4">
      <w:pPr>
        <w:keepNext/>
        <w:ind w:left="709"/>
        <w:rPr>
          <w:b/>
          <w:i/>
          <w:u w:val="single"/>
        </w:rPr>
      </w:pPr>
      <w:r w:rsidRPr="009610A4">
        <w:rPr>
          <w:b/>
          <w:i/>
          <w:u w:val="single"/>
        </w:rPr>
        <w:t>Subscriber Members/Participants Present (* Indicates Voting Member)</w:t>
      </w:r>
    </w:p>
    <w:tbl>
      <w:tblPr>
        <w:tblStyle w:val="TableGrid"/>
        <w:tblW w:w="964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378"/>
        <w:gridCol w:w="1555"/>
        <w:gridCol w:w="1980"/>
        <w:gridCol w:w="3960"/>
        <w:gridCol w:w="1775"/>
      </w:tblGrid>
      <w:tr w:rsidR="00A62217" w:rsidRPr="009610A4" w14:paraId="4AFB28A7" w14:textId="77777777" w:rsidTr="00C76EEE">
        <w:tc>
          <w:tcPr>
            <w:tcW w:w="378" w:type="dxa"/>
          </w:tcPr>
          <w:p w14:paraId="695FEA50" w14:textId="77777777" w:rsidR="00A62217" w:rsidRDefault="00A62217" w:rsidP="00A62217">
            <w:pPr>
              <w:contextualSpacing/>
            </w:pPr>
          </w:p>
        </w:tc>
        <w:tc>
          <w:tcPr>
            <w:tcW w:w="1555" w:type="dxa"/>
          </w:tcPr>
          <w:p w14:paraId="1FACED49" w14:textId="15C9B53E" w:rsidR="00A62217" w:rsidRDefault="00A62217" w:rsidP="00A62217">
            <w:pPr>
              <w:contextualSpacing/>
              <w:rPr>
                <w:rFonts w:cs="Arial"/>
                <w:szCs w:val="20"/>
              </w:rPr>
            </w:pPr>
            <w:r w:rsidRPr="005D5F32">
              <w:t>NAME</w:t>
            </w:r>
          </w:p>
        </w:tc>
        <w:tc>
          <w:tcPr>
            <w:tcW w:w="1980" w:type="dxa"/>
          </w:tcPr>
          <w:p w14:paraId="4817C46A" w14:textId="77777777" w:rsidR="00A62217" w:rsidRDefault="00A62217" w:rsidP="00A62217">
            <w:pPr>
              <w:contextualSpacing/>
              <w:rPr>
                <w:rFonts w:cs="Arial"/>
                <w:szCs w:val="20"/>
              </w:rPr>
            </w:pPr>
          </w:p>
        </w:tc>
        <w:tc>
          <w:tcPr>
            <w:tcW w:w="3960" w:type="dxa"/>
          </w:tcPr>
          <w:p w14:paraId="52D6E781" w14:textId="763AC4EA" w:rsidR="00A62217" w:rsidRPr="00281FDE" w:rsidRDefault="00A62217" w:rsidP="00A62217">
            <w:pPr>
              <w:contextualSpacing/>
            </w:pPr>
            <w:r w:rsidRPr="005D5F32">
              <w:t>COMPANY NAME</w:t>
            </w:r>
          </w:p>
        </w:tc>
        <w:tc>
          <w:tcPr>
            <w:tcW w:w="1775" w:type="dxa"/>
          </w:tcPr>
          <w:p w14:paraId="197C2744" w14:textId="77777777" w:rsidR="00A62217" w:rsidRDefault="00A62217" w:rsidP="00A62217">
            <w:pPr>
              <w:contextualSpacing/>
            </w:pPr>
          </w:p>
        </w:tc>
      </w:tr>
      <w:tr w:rsidR="00A62217" w:rsidRPr="009610A4" w14:paraId="2505EF7A" w14:textId="77777777" w:rsidTr="00C86C9F">
        <w:tc>
          <w:tcPr>
            <w:tcW w:w="378" w:type="dxa"/>
          </w:tcPr>
          <w:p w14:paraId="0E5291CD" w14:textId="77777777" w:rsidR="00A62217" w:rsidRPr="009610A4" w:rsidRDefault="00A62217" w:rsidP="006B7B26">
            <w:pPr>
              <w:contextualSpacing/>
            </w:pPr>
          </w:p>
        </w:tc>
        <w:tc>
          <w:tcPr>
            <w:tcW w:w="1555" w:type="dxa"/>
          </w:tcPr>
          <w:p w14:paraId="10B00DDD" w14:textId="47993A0E" w:rsidR="00A62217" w:rsidRPr="009610A4" w:rsidRDefault="00A62217" w:rsidP="006B7B26">
            <w:pPr>
              <w:contextualSpacing/>
            </w:pPr>
          </w:p>
        </w:tc>
        <w:tc>
          <w:tcPr>
            <w:tcW w:w="1980" w:type="dxa"/>
          </w:tcPr>
          <w:p w14:paraId="4D108717" w14:textId="77777777" w:rsidR="00A62217" w:rsidRPr="009610A4" w:rsidRDefault="00A62217" w:rsidP="006B7B26">
            <w:pPr>
              <w:contextualSpacing/>
            </w:pPr>
          </w:p>
        </w:tc>
        <w:tc>
          <w:tcPr>
            <w:tcW w:w="3960" w:type="dxa"/>
          </w:tcPr>
          <w:p w14:paraId="0E1B52DA" w14:textId="4D40BCD6" w:rsidR="00A62217" w:rsidRPr="009610A4" w:rsidRDefault="00A62217" w:rsidP="006B7B26">
            <w:pPr>
              <w:contextualSpacing/>
            </w:pPr>
          </w:p>
        </w:tc>
        <w:tc>
          <w:tcPr>
            <w:tcW w:w="1775" w:type="dxa"/>
          </w:tcPr>
          <w:p w14:paraId="49463256" w14:textId="77777777" w:rsidR="00A62217" w:rsidRPr="009610A4" w:rsidRDefault="00A62217" w:rsidP="006B7B26">
            <w:pPr>
              <w:contextualSpacing/>
            </w:pPr>
          </w:p>
        </w:tc>
      </w:tr>
      <w:tr w:rsidR="00A62217" w:rsidRPr="009610A4" w14:paraId="3B710ACD" w14:textId="77777777" w:rsidTr="0041651E">
        <w:tc>
          <w:tcPr>
            <w:tcW w:w="378" w:type="dxa"/>
          </w:tcPr>
          <w:p w14:paraId="6FC0D3D0" w14:textId="77777777" w:rsidR="00A62217" w:rsidRPr="009610A4" w:rsidRDefault="00A62217" w:rsidP="00FC2FE1">
            <w:pPr>
              <w:contextualSpacing/>
            </w:pPr>
            <w:r>
              <w:t>*</w:t>
            </w:r>
          </w:p>
        </w:tc>
        <w:tc>
          <w:tcPr>
            <w:tcW w:w="1555" w:type="dxa"/>
            <w:vAlign w:val="center"/>
          </w:tcPr>
          <w:p w14:paraId="538AD11E" w14:textId="77777777" w:rsidR="00A62217" w:rsidRPr="009610A4" w:rsidDel="00E3448D" w:rsidRDefault="00A62217" w:rsidP="00FC2FE1">
            <w:pPr>
              <w:contextualSpacing/>
            </w:pPr>
            <w:r>
              <w:rPr>
                <w:rFonts w:cs="Arial"/>
                <w:szCs w:val="20"/>
              </w:rPr>
              <w:t>Hal</w:t>
            </w:r>
          </w:p>
        </w:tc>
        <w:tc>
          <w:tcPr>
            <w:tcW w:w="1980" w:type="dxa"/>
            <w:vAlign w:val="center"/>
          </w:tcPr>
          <w:p w14:paraId="0F853DCC" w14:textId="77777777" w:rsidR="00A62217" w:rsidRPr="009610A4" w:rsidRDefault="00A62217" w:rsidP="00FC2FE1">
            <w:pPr>
              <w:contextualSpacing/>
            </w:pPr>
            <w:r>
              <w:rPr>
                <w:rFonts w:cs="Arial"/>
                <w:szCs w:val="20"/>
              </w:rPr>
              <w:t>Abel</w:t>
            </w:r>
          </w:p>
        </w:tc>
        <w:tc>
          <w:tcPr>
            <w:tcW w:w="3960" w:type="dxa"/>
          </w:tcPr>
          <w:p w14:paraId="05A0830B" w14:textId="77777777" w:rsidR="00A62217" w:rsidRPr="009610A4" w:rsidDel="00E3448D" w:rsidRDefault="00A62217" w:rsidP="00FC2FE1">
            <w:pPr>
              <w:contextualSpacing/>
            </w:pPr>
            <w:r w:rsidRPr="00281FDE">
              <w:t>Raytheon</w:t>
            </w:r>
          </w:p>
        </w:tc>
        <w:tc>
          <w:tcPr>
            <w:tcW w:w="1775" w:type="dxa"/>
          </w:tcPr>
          <w:p w14:paraId="79CFFEDB" w14:textId="77777777" w:rsidR="00A62217" w:rsidRPr="009610A4" w:rsidRDefault="00A62217" w:rsidP="00FC2FE1">
            <w:pPr>
              <w:contextualSpacing/>
            </w:pPr>
          </w:p>
        </w:tc>
      </w:tr>
      <w:tr w:rsidR="00A62217" w:rsidRPr="009610A4" w14:paraId="03DB15CA" w14:textId="77777777" w:rsidTr="0041651E">
        <w:tc>
          <w:tcPr>
            <w:tcW w:w="378" w:type="dxa"/>
          </w:tcPr>
          <w:p w14:paraId="7AB81C08" w14:textId="77777777" w:rsidR="00A62217" w:rsidRDefault="00A62217" w:rsidP="00FC2FE1">
            <w:pPr>
              <w:contextualSpacing/>
            </w:pPr>
          </w:p>
        </w:tc>
        <w:tc>
          <w:tcPr>
            <w:tcW w:w="1555" w:type="dxa"/>
            <w:vAlign w:val="center"/>
          </w:tcPr>
          <w:p w14:paraId="04185CA4" w14:textId="77777777" w:rsidR="00A62217" w:rsidRPr="009610A4" w:rsidDel="00E3448D" w:rsidRDefault="00A62217" w:rsidP="00FC2FE1">
            <w:pPr>
              <w:contextualSpacing/>
            </w:pPr>
            <w:r>
              <w:rPr>
                <w:rFonts w:cs="Arial"/>
                <w:color w:val="000000"/>
                <w:szCs w:val="20"/>
              </w:rPr>
              <w:t>Uchida</w:t>
            </w:r>
          </w:p>
        </w:tc>
        <w:tc>
          <w:tcPr>
            <w:tcW w:w="1980" w:type="dxa"/>
            <w:vAlign w:val="center"/>
          </w:tcPr>
          <w:p w14:paraId="35A6AB43" w14:textId="77777777" w:rsidR="00A62217" w:rsidRPr="009610A4" w:rsidRDefault="00A62217" w:rsidP="00FC2FE1">
            <w:pPr>
              <w:contextualSpacing/>
            </w:pPr>
            <w:proofErr w:type="spellStart"/>
            <w:r>
              <w:rPr>
                <w:rFonts w:cs="Arial"/>
                <w:color w:val="000000"/>
                <w:szCs w:val="20"/>
              </w:rPr>
              <w:t>Akie</w:t>
            </w:r>
            <w:proofErr w:type="spellEnd"/>
          </w:p>
        </w:tc>
        <w:tc>
          <w:tcPr>
            <w:tcW w:w="3960" w:type="dxa"/>
          </w:tcPr>
          <w:p w14:paraId="5604FF35" w14:textId="77777777" w:rsidR="00A62217" w:rsidRPr="009610A4" w:rsidDel="00E3448D" w:rsidRDefault="00A62217" w:rsidP="00FC2FE1">
            <w:pPr>
              <w:contextualSpacing/>
            </w:pPr>
            <w:r w:rsidRPr="00281FDE">
              <w:t>Mitsubishi Heavy Industries</w:t>
            </w:r>
          </w:p>
        </w:tc>
        <w:tc>
          <w:tcPr>
            <w:tcW w:w="1775" w:type="dxa"/>
          </w:tcPr>
          <w:p w14:paraId="18BF743D" w14:textId="77777777" w:rsidR="00A62217" w:rsidRDefault="00A62217" w:rsidP="00FC2FE1">
            <w:pPr>
              <w:contextualSpacing/>
            </w:pPr>
          </w:p>
        </w:tc>
      </w:tr>
      <w:tr w:rsidR="00A62217" w:rsidRPr="009610A4" w14:paraId="63A30124" w14:textId="77777777" w:rsidTr="00C86C9F">
        <w:tc>
          <w:tcPr>
            <w:tcW w:w="378" w:type="dxa"/>
          </w:tcPr>
          <w:p w14:paraId="06DFA0C1" w14:textId="77777777" w:rsidR="00A62217" w:rsidRDefault="00A62217" w:rsidP="006B7B26">
            <w:pPr>
              <w:contextualSpacing/>
            </w:pPr>
          </w:p>
        </w:tc>
        <w:tc>
          <w:tcPr>
            <w:tcW w:w="1555" w:type="dxa"/>
          </w:tcPr>
          <w:p w14:paraId="4C26D2B2" w14:textId="77777777" w:rsidR="00A62217" w:rsidRPr="009610A4" w:rsidDel="00E3448D" w:rsidRDefault="00A62217" w:rsidP="006B7B26">
            <w:pPr>
              <w:contextualSpacing/>
            </w:pPr>
            <w:r w:rsidRPr="009B0D0B">
              <w:t>Mark</w:t>
            </w:r>
          </w:p>
        </w:tc>
        <w:tc>
          <w:tcPr>
            <w:tcW w:w="1980" w:type="dxa"/>
          </w:tcPr>
          <w:p w14:paraId="086DD48E" w14:textId="77777777" w:rsidR="00A62217" w:rsidRPr="009610A4" w:rsidRDefault="00A62217" w:rsidP="006B7B26">
            <w:pPr>
              <w:contextualSpacing/>
            </w:pPr>
            <w:proofErr w:type="spellStart"/>
            <w:r w:rsidRPr="009B0D0B">
              <w:t>Antonellis</w:t>
            </w:r>
            <w:proofErr w:type="spellEnd"/>
          </w:p>
        </w:tc>
        <w:tc>
          <w:tcPr>
            <w:tcW w:w="3960" w:type="dxa"/>
          </w:tcPr>
          <w:p w14:paraId="787FEF8C" w14:textId="77777777" w:rsidR="00A62217" w:rsidRPr="009610A4" w:rsidDel="00E3448D" w:rsidRDefault="00A62217" w:rsidP="006B7B26">
            <w:pPr>
              <w:contextualSpacing/>
            </w:pPr>
            <w:r w:rsidRPr="009B0D0B">
              <w:t>BAE Systems</w:t>
            </w:r>
          </w:p>
        </w:tc>
        <w:tc>
          <w:tcPr>
            <w:tcW w:w="1775" w:type="dxa"/>
          </w:tcPr>
          <w:p w14:paraId="5F15D541" w14:textId="77777777" w:rsidR="00A62217" w:rsidRDefault="00A62217" w:rsidP="006B7B26">
            <w:pPr>
              <w:contextualSpacing/>
            </w:pPr>
          </w:p>
        </w:tc>
      </w:tr>
      <w:tr w:rsidR="00A62217" w:rsidRPr="009610A4" w14:paraId="0BD95796" w14:textId="77777777" w:rsidTr="00C86C9F">
        <w:tc>
          <w:tcPr>
            <w:tcW w:w="378" w:type="dxa"/>
          </w:tcPr>
          <w:p w14:paraId="7F6FBCCF" w14:textId="77777777" w:rsidR="00A62217" w:rsidRDefault="00A62217" w:rsidP="00542376">
            <w:pPr>
              <w:contextualSpacing/>
            </w:pPr>
            <w:r w:rsidRPr="00BF4563">
              <w:t>*</w:t>
            </w:r>
          </w:p>
        </w:tc>
        <w:tc>
          <w:tcPr>
            <w:tcW w:w="1555" w:type="dxa"/>
          </w:tcPr>
          <w:p w14:paraId="7CAB3F44" w14:textId="77777777" w:rsidR="00A62217" w:rsidRPr="009610A4" w:rsidDel="00E3448D" w:rsidRDefault="00A62217" w:rsidP="00542376">
            <w:pPr>
              <w:contextualSpacing/>
            </w:pPr>
            <w:r w:rsidRPr="00BF4563">
              <w:t>Malik</w:t>
            </w:r>
          </w:p>
        </w:tc>
        <w:tc>
          <w:tcPr>
            <w:tcW w:w="1980" w:type="dxa"/>
          </w:tcPr>
          <w:p w14:paraId="50A70D76" w14:textId="77777777" w:rsidR="00A62217" w:rsidRPr="009610A4" w:rsidRDefault="00A62217" w:rsidP="00542376">
            <w:pPr>
              <w:contextualSpacing/>
            </w:pPr>
            <w:proofErr w:type="spellStart"/>
            <w:r w:rsidRPr="00BF4563">
              <w:t>Boutoba</w:t>
            </w:r>
            <w:proofErr w:type="spellEnd"/>
          </w:p>
        </w:tc>
        <w:tc>
          <w:tcPr>
            <w:tcW w:w="3960" w:type="dxa"/>
          </w:tcPr>
          <w:p w14:paraId="33BC4827" w14:textId="77777777" w:rsidR="00A62217" w:rsidRPr="009610A4" w:rsidDel="00E3448D" w:rsidRDefault="00A62217" w:rsidP="00542376">
            <w:pPr>
              <w:contextualSpacing/>
            </w:pPr>
            <w:r w:rsidRPr="00BF4563">
              <w:t>Airbus Helicopters</w:t>
            </w:r>
          </w:p>
        </w:tc>
        <w:tc>
          <w:tcPr>
            <w:tcW w:w="1775" w:type="dxa"/>
          </w:tcPr>
          <w:p w14:paraId="5928C34D" w14:textId="77777777" w:rsidR="00A62217" w:rsidRDefault="00A62217" w:rsidP="00542376">
            <w:pPr>
              <w:contextualSpacing/>
            </w:pPr>
          </w:p>
        </w:tc>
      </w:tr>
      <w:tr w:rsidR="00A62217" w:rsidRPr="009610A4" w14:paraId="4105E1BE" w14:textId="77777777" w:rsidTr="00C86C9F">
        <w:tc>
          <w:tcPr>
            <w:tcW w:w="378" w:type="dxa"/>
          </w:tcPr>
          <w:p w14:paraId="2C01DD93" w14:textId="77777777" w:rsidR="00A62217" w:rsidRDefault="00A62217" w:rsidP="0041651E">
            <w:pPr>
              <w:contextualSpacing/>
            </w:pPr>
            <w:r>
              <w:t>*</w:t>
            </w:r>
          </w:p>
        </w:tc>
        <w:tc>
          <w:tcPr>
            <w:tcW w:w="1555" w:type="dxa"/>
          </w:tcPr>
          <w:p w14:paraId="5E9E2033" w14:textId="77777777" w:rsidR="00A62217" w:rsidRPr="009610A4" w:rsidDel="00E3448D" w:rsidRDefault="00A62217" w:rsidP="0041651E">
            <w:pPr>
              <w:contextualSpacing/>
            </w:pPr>
            <w:r>
              <w:t>Craig</w:t>
            </w:r>
          </w:p>
        </w:tc>
        <w:tc>
          <w:tcPr>
            <w:tcW w:w="1980" w:type="dxa"/>
          </w:tcPr>
          <w:p w14:paraId="73462F86" w14:textId="77777777" w:rsidR="00A62217" w:rsidRPr="009610A4" w:rsidRDefault="00A62217" w:rsidP="0041651E">
            <w:pPr>
              <w:contextualSpacing/>
            </w:pPr>
            <w:r>
              <w:t>Bowden</w:t>
            </w:r>
          </w:p>
        </w:tc>
        <w:tc>
          <w:tcPr>
            <w:tcW w:w="3960" w:type="dxa"/>
          </w:tcPr>
          <w:p w14:paraId="669A1034" w14:textId="77777777" w:rsidR="00A62217" w:rsidRPr="009610A4" w:rsidDel="00E3448D" w:rsidRDefault="00A62217" w:rsidP="0041651E">
            <w:pPr>
              <w:contextualSpacing/>
            </w:pPr>
            <w:r>
              <w:t>BAE Systems</w:t>
            </w:r>
          </w:p>
        </w:tc>
        <w:tc>
          <w:tcPr>
            <w:tcW w:w="1775" w:type="dxa"/>
          </w:tcPr>
          <w:p w14:paraId="3F6C83B7" w14:textId="77777777" w:rsidR="00A62217" w:rsidRDefault="00A62217" w:rsidP="0041651E">
            <w:pPr>
              <w:contextualSpacing/>
            </w:pPr>
          </w:p>
        </w:tc>
      </w:tr>
      <w:tr w:rsidR="00A62217" w:rsidRPr="009610A4" w14:paraId="7A9A8E5D" w14:textId="77777777" w:rsidTr="0041651E">
        <w:tc>
          <w:tcPr>
            <w:tcW w:w="378" w:type="dxa"/>
          </w:tcPr>
          <w:p w14:paraId="19B1FCD5" w14:textId="77777777" w:rsidR="00A62217" w:rsidRDefault="00A62217" w:rsidP="00FC2FE1">
            <w:pPr>
              <w:contextualSpacing/>
            </w:pPr>
          </w:p>
        </w:tc>
        <w:tc>
          <w:tcPr>
            <w:tcW w:w="1555" w:type="dxa"/>
            <w:vAlign w:val="center"/>
          </w:tcPr>
          <w:p w14:paraId="5C3D43CE" w14:textId="77777777" w:rsidR="00A62217" w:rsidRPr="009610A4" w:rsidDel="00E3448D" w:rsidRDefault="00A62217" w:rsidP="00FC2FE1">
            <w:pPr>
              <w:contextualSpacing/>
            </w:pPr>
            <w:proofErr w:type="spellStart"/>
            <w:r>
              <w:rPr>
                <w:rFonts w:cs="Arial"/>
                <w:szCs w:val="20"/>
              </w:rPr>
              <w:t>Wojciech</w:t>
            </w:r>
            <w:proofErr w:type="spellEnd"/>
          </w:p>
        </w:tc>
        <w:tc>
          <w:tcPr>
            <w:tcW w:w="1980" w:type="dxa"/>
            <w:vAlign w:val="center"/>
          </w:tcPr>
          <w:p w14:paraId="355F1A2A" w14:textId="77777777" w:rsidR="00A62217" w:rsidRPr="009610A4" w:rsidRDefault="00A62217" w:rsidP="00FC2FE1">
            <w:pPr>
              <w:contextualSpacing/>
            </w:pPr>
            <w:proofErr w:type="spellStart"/>
            <w:r>
              <w:rPr>
                <w:rFonts w:cs="Arial"/>
                <w:szCs w:val="20"/>
              </w:rPr>
              <w:t>Cmok</w:t>
            </w:r>
            <w:proofErr w:type="spellEnd"/>
          </w:p>
        </w:tc>
        <w:tc>
          <w:tcPr>
            <w:tcW w:w="3960" w:type="dxa"/>
          </w:tcPr>
          <w:p w14:paraId="1C7B9F6B" w14:textId="77777777" w:rsidR="00A62217" w:rsidRPr="009610A4" w:rsidDel="00E3448D" w:rsidRDefault="00A62217" w:rsidP="00FC2FE1">
            <w:pPr>
              <w:contextualSpacing/>
            </w:pPr>
            <w:r w:rsidRPr="00281FDE">
              <w:t>UTC Aerospace (Goodrich)</w:t>
            </w:r>
          </w:p>
        </w:tc>
        <w:tc>
          <w:tcPr>
            <w:tcW w:w="1775" w:type="dxa"/>
          </w:tcPr>
          <w:p w14:paraId="4D9F7D66" w14:textId="77777777" w:rsidR="00A62217" w:rsidRDefault="00A62217" w:rsidP="00FC2FE1">
            <w:pPr>
              <w:contextualSpacing/>
            </w:pPr>
          </w:p>
        </w:tc>
      </w:tr>
      <w:tr w:rsidR="00A62217" w:rsidRPr="009610A4" w14:paraId="44DE3DF2" w14:textId="77777777" w:rsidTr="0041651E">
        <w:tc>
          <w:tcPr>
            <w:tcW w:w="378" w:type="dxa"/>
          </w:tcPr>
          <w:p w14:paraId="16547D99" w14:textId="77777777" w:rsidR="00A62217" w:rsidRDefault="00A62217" w:rsidP="00FC2FE1">
            <w:pPr>
              <w:contextualSpacing/>
            </w:pPr>
            <w:r w:rsidRPr="006F4814">
              <w:t>*</w:t>
            </w:r>
          </w:p>
        </w:tc>
        <w:tc>
          <w:tcPr>
            <w:tcW w:w="1555" w:type="dxa"/>
            <w:vAlign w:val="center"/>
          </w:tcPr>
          <w:p w14:paraId="42631B24" w14:textId="77777777" w:rsidR="00A62217" w:rsidRPr="009610A4" w:rsidDel="00E3448D" w:rsidRDefault="00A62217" w:rsidP="00FC2FE1">
            <w:pPr>
              <w:contextualSpacing/>
            </w:pPr>
            <w:r>
              <w:rPr>
                <w:rFonts w:cs="Arial"/>
                <w:szCs w:val="20"/>
              </w:rPr>
              <w:t>Ron</w:t>
            </w:r>
          </w:p>
        </w:tc>
        <w:tc>
          <w:tcPr>
            <w:tcW w:w="1980" w:type="dxa"/>
            <w:vAlign w:val="center"/>
          </w:tcPr>
          <w:p w14:paraId="6F1515A2" w14:textId="77777777" w:rsidR="00A62217" w:rsidRPr="009610A4" w:rsidRDefault="00A62217" w:rsidP="00FC2FE1">
            <w:pPr>
              <w:contextualSpacing/>
            </w:pPr>
            <w:r>
              <w:rPr>
                <w:rFonts w:cs="Arial"/>
                <w:szCs w:val="20"/>
              </w:rPr>
              <w:t>Cohen</w:t>
            </w:r>
          </w:p>
        </w:tc>
        <w:tc>
          <w:tcPr>
            <w:tcW w:w="3960" w:type="dxa"/>
          </w:tcPr>
          <w:p w14:paraId="16EBD4BA" w14:textId="77777777" w:rsidR="00A62217" w:rsidRPr="009610A4" w:rsidDel="00E3448D" w:rsidRDefault="00A62217" w:rsidP="00FC2FE1">
            <w:pPr>
              <w:contextualSpacing/>
            </w:pPr>
            <w:r w:rsidRPr="00281FDE">
              <w:t>Israel Aerospace Industries</w:t>
            </w:r>
          </w:p>
        </w:tc>
        <w:tc>
          <w:tcPr>
            <w:tcW w:w="1775" w:type="dxa"/>
          </w:tcPr>
          <w:p w14:paraId="704C9432" w14:textId="77777777" w:rsidR="00A62217" w:rsidRDefault="00A62217" w:rsidP="00FC2FE1">
            <w:pPr>
              <w:contextualSpacing/>
            </w:pPr>
          </w:p>
        </w:tc>
      </w:tr>
      <w:tr w:rsidR="00A62217" w:rsidRPr="009610A4" w14:paraId="6EC80433" w14:textId="77777777" w:rsidTr="0041651E">
        <w:tc>
          <w:tcPr>
            <w:tcW w:w="378" w:type="dxa"/>
          </w:tcPr>
          <w:p w14:paraId="1CFB4974" w14:textId="77777777" w:rsidR="00A62217" w:rsidRDefault="00A62217" w:rsidP="00FC2FE1">
            <w:pPr>
              <w:contextualSpacing/>
            </w:pPr>
            <w:r w:rsidRPr="006F4814">
              <w:t>*</w:t>
            </w:r>
          </w:p>
        </w:tc>
        <w:tc>
          <w:tcPr>
            <w:tcW w:w="1555" w:type="dxa"/>
            <w:vAlign w:val="center"/>
          </w:tcPr>
          <w:p w14:paraId="6F3DA720" w14:textId="77777777" w:rsidR="00A62217" w:rsidRPr="009610A4" w:rsidDel="00E3448D" w:rsidRDefault="00A62217" w:rsidP="00FC2FE1">
            <w:pPr>
              <w:contextualSpacing/>
            </w:pPr>
            <w:r>
              <w:rPr>
                <w:rFonts w:cs="Arial"/>
                <w:szCs w:val="20"/>
              </w:rPr>
              <w:t>Mike</w:t>
            </w:r>
          </w:p>
        </w:tc>
        <w:tc>
          <w:tcPr>
            <w:tcW w:w="1980" w:type="dxa"/>
            <w:vAlign w:val="center"/>
          </w:tcPr>
          <w:p w14:paraId="2B417B79" w14:textId="77777777" w:rsidR="00A62217" w:rsidRPr="009610A4" w:rsidRDefault="00A62217" w:rsidP="00FC2FE1">
            <w:pPr>
              <w:contextualSpacing/>
            </w:pPr>
            <w:r>
              <w:rPr>
                <w:rFonts w:cs="Arial"/>
                <w:szCs w:val="20"/>
              </w:rPr>
              <w:t>Coleman</w:t>
            </w:r>
          </w:p>
        </w:tc>
        <w:tc>
          <w:tcPr>
            <w:tcW w:w="3960" w:type="dxa"/>
          </w:tcPr>
          <w:p w14:paraId="0A2AACBF" w14:textId="77777777" w:rsidR="00A62217" w:rsidRPr="009610A4" w:rsidDel="00E3448D" w:rsidRDefault="00A62217" w:rsidP="00FC2FE1">
            <w:pPr>
              <w:contextualSpacing/>
            </w:pPr>
            <w:r w:rsidRPr="00281FDE">
              <w:t>The Boeing Company</w:t>
            </w:r>
          </w:p>
        </w:tc>
        <w:tc>
          <w:tcPr>
            <w:tcW w:w="1775" w:type="dxa"/>
          </w:tcPr>
          <w:p w14:paraId="2231E26C" w14:textId="47CD989F" w:rsidR="00A62217" w:rsidRDefault="004A0507" w:rsidP="00FC2FE1">
            <w:pPr>
              <w:contextualSpacing/>
            </w:pPr>
            <w:r>
              <w:t>Vice Chairperson</w:t>
            </w:r>
          </w:p>
        </w:tc>
      </w:tr>
      <w:tr w:rsidR="00A62217" w:rsidRPr="009610A4" w14:paraId="6E995433" w14:textId="77777777" w:rsidTr="0041651E">
        <w:tc>
          <w:tcPr>
            <w:tcW w:w="378" w:type="dxa"/>
          </w:tcPr>
          <w:p w14:paraId="0A5616DC" w14:textId="77777777" w:rsidR="00A62217" w:rsidRDefault="00A62217" w:rsidP="00FC2FE1">
            <w:pPr>
              <w:contextualSpacing/>
            </w:pPr>
            <w:r w:rsidRPr="006F4814">
              <w:t>*</w:t>
            </w:r>
          </w:p>
        </w:tc>
        <w:tc>
          <w:tcPr>
            <w:tcW w:w="1555" w:type="dxa"/>
            <w:vAlign w:val="center"/>
          </w:tcPr>
          <w:p w14:paraId="23B7B2FE" w14:textId="77777777" w:rsidR="00A62217" w:rsidRPr="009610A4" w:rsidDel="00E3448D" w:rsidRDefault="00A62217" w:rsidP="00FC2FE1">
            <w:pPr>
              <w:contextualSpacing/>
            </w:pPr>
            <w:proofErr w:type="spellStart"/>
            <w:r>
              <w:rPr>
                <w:rFonts w:cs="Arial"/>
                <w:szCs w:val="20"/>
              </w:rPr>
              <w:t>Alessio</w:t>
            </w:r>
            <w:proofErr w:type="spellEnd"/>
          </w:p>
        </w:tc>
        <w:tc>
          <w:tcPr>
            <w:tcW w:w="1980" w:type="dxa"/>
            <w:vAlign w:val="center"/>
          </w:tcPr>
          <w:p w14:paraId="595A6F2C" w14:textId="77777777" w:rsidR="00A62217" w:rsidRPr="009610A4" w:rsidRDefault="00A62217" w:rsidP="00FC2FE1">
            <w:pPr>
              <w:contextualSpacing/>
            </w:pPr>
            <w:proofErr w:type="spellStart"/>
            <w:r>
              <w:rPr>
                <w:rFonts w:cs="Arial"/>
                <w:szCs w:val="20"/>
              </w:rPr>
              <w:t>Colombara</w:t>
            </w:r>
            <w:proofErr w:type="spellEnd"/>
          </w:p>
        </w:tc>
        <w:tc>
          <w:tcPr>
            <w:tcW w:w="3960" w:type="dxa"/>
          </w:tcPr>
          <w:p w14:paraId="7D67CDF6" w14:textId="77777777" w:rsidR="00A62217" w:rsidRPr="009610A4" w:rsidDel="00E3448D" w:rsidRDefault="00A62217" w:rsidP="00FC2FE1">
            <w:pPr>
              <w:contextualSpacing/>
            </w:pPr>
            <w:r w:rsidRPr="00281FDE">
              <w:t>Finmeccanica Helicopter Division</w:t>
            </w:r>
          </w:p>
        </w:tc>
        <w:tc>
          <w:tcPr>
            <w:tcW w:w="1775" w:type="dxa"/>
          </w:tcPr>
          <w:p w14:paraId="1255548D" w14:textId="77777777" w:rsidR="00A62217" w:rsidRDefault="00A62217" w:rsidP="00FC2FE1">
            <w:pPr>
              <w:contextualSpacing/>
            </w:pPr>
          </w:p>
        </w:tc>
      </w:tr>
      <w:tr w:rsidR="00A62217" w:rsidRPr="009610A4" w14:paraId="7E41C731" w14:textId="77777777" w:rsidTr="00C86C9F">
        <w:tc>
          <w:tcPr>
            <w:tcW w:w="378" w:type="dxa"/>
          </w:tcPr>
          <w:p w14:paraId="0B402476" w14:textId="77777777" w:rsidR="00A62217" w:rsidRDefault="00A62217" w:rsidP="006B7B26">
            <w:pPr>
              <w:contextualSpacing/>
            </w:pPr>
            <w:r>
              <w:t>*</w:t>
            </w:r>
          </w:p>
        </w:tc>
        <w:tc>
          <w:tcPr>
            <w:tcW w:w="1555" w:type="dxa"/>
          </w:tcPr>
          <w:p w14:paraId="36C38721" w14:textId="77777777" w:rsidR="00A62217" w:rsidRPr="009610A4" w:rsidDel="00E3448D" w:rsidRDefault="00A62217" w:rsidP="006B7B26">
            <w:pPr>
              <w:contextualSpacing/>
            </w:pPr>
            <w:r>
              <w:t>Katelyn</w:t>
            </w:r>
          </w:p>
        </w:tc>
        <w:tc>
          <w:tcPr>
            <w:tcW w:w="1980" w:type="dxa"/>
          </w:tcPr>
          <w:p w14:paraId="0623C2AD" w14:textId="77777777" w:rsidR="00A62217" w:rsidRPr="009610A4" w:rsidRDefault="00A62217" w:rsidP="006B7B26">
            <w:pPr>
              <w:contextualSpacing/>
            </w:pPr>
            <w:r>
              <w:t>Crowley</w:t>
            </w:r>
          </w:p>
        </w:tc>
        <w:tc>
          <w:tcPr>
            <w:tcW w:w="3960" w:type="dxa"/>
          </w:tcPr>
          <w:p w14:paraId="24F0177A" w14:textId="77777777" w:rsidR="00A62217" w:rsidRPr="009610A4" w:rsidDel="00E3448D" w:rsidRDefault="00A62217" w:rsidP="006B7B26">
            <w:pPr>
              <w:contextualSpacing/>
            </w:pPr>
            <w:r>
              <w:t>Bell Helicopter</w:t>
            </w:r>
          </w:p>
        </w:tc>
        <w:tc>
          <w:tcPr>
            <w:tcW w:w="1775" w:type="dxa"/>
          </w:tcPr>
          <w:p w14:paraId="29C178BE" w14:textId="77777777" w:rsidR="00A62217" w:rsidRDefault="00A62217" w:rsidP="006B7B26">
            <w:pPr>
              <w:contextualSpacing/>
            </w:pPr>
          </w:p>
        </w:tc>
      </w:tr>
      <w:tr w:rsidR="00A62217" w:rsidRPr="009610A4" w14:paraId="6293ED0B" w14:textId="77777777" w:rsidTr="0041651E">
        <w:tc>
          <w:tcPr>
            <w:tcW w:w="378" w:type="dxa"/>
          </w:tcPr>
          <w:p w14:paraId="3C83AF84" w14:textId="77777777" w:rsidR="00A62217" w:rsidRDefault="00A62217" w:rsidP="00FC2FE1">
            <w:pPr>
              <w:contextualSpacing/>
            </w:pPr>
            <w:r w:rsidRPr="006F4814">
              <w:t>*</w:t>
            </w:r>
          </w:p>
        </w:tc>
        <w:tc>
          <w:tcPr>
            <w:tcW w:w="1555" w:type="dxa"/>
            <w:vAlign w:val="center"/>
          </w:tcPr>
          <w:p w14:paraId="22F13997" w14:textId="77777777" w:rsidR="00A62217" w:rsidRPr="009610A4" w:rsidDel="00E3448D" w:rsidRDefault="00A62217" w:rsidP="00FC2FE1">
            <w:pPr>
              <w:contextualSpacing/>
            </w:pPr>
            <w:r>
              <w:rPr>
                <w:rFonts w:cs="Arial"/>
                <w:szCs w:val="20"/>
              </w:rPr>
              <w:t>Karyn</w:t>
            </w:r>
          </w:p>
        </w:tc>
        <w:tc>
          <w:tcPr>
            <w:tcW w:w="1980" w:type="dxa"/>
            <w:vAlign w:val="center"/>
          </w:tcPr>
          <w:p w14:paraId="1B3B1925" w14:textId="77777777" w:rsidR="00A62217" w:rsidRPr="009610A4" w:rsidRDefault="00A62217" w:rsidP="00FC2FE1">
            <w:pPr>
              <w:contextualSpacing/>
            </w:pPr>
            <w:r>
              <w:rPr>
                <w:rFonts w:cs="Arial"/>
                <w:szCs w:val="20"/>
              </w:rPr>
              <w:t>Deming</w:t>
            </w:r>
          </w:p>
        </w:tc>
        <w:tc>
          <w:tcPr>
            <w:tcW w:w="3960" w:type="dxa"/>
          </w:tcPr>
          <w:p w14:paraId="45405843" w14:textId="77777777" w:rsidR="00A62217" w:rsidRPr="009610A4" w:rsidDel="00E3448D" w:rsidRDefault="00A62217" w:rsidP="00FC2FE1">
            <w:pPr>
              <w:contextualSpacing/>
            </w:pPr>
            <w:r w:rsidRPr="00281FDE">
              <w:t>UTC Aerospace (Goodrich)</w:t>
            </w:r>
          </w:p>
        </w:tc>
        <w:tc>
          <w:tcPr>
            <w:tcW w:w="1775" w:type="dxa"/>
          </w:tcPr>
          <w:p w14:paraId="5086E88B" w14:textId="77777777" w:rsidR="00A62217" w:rsidRDefault="00A62217" w:rsidP="00FC2FE1">
            <w:pPr>
              <w:contextualSpacing/>
            </w:pPr>
          </w:p>
        </w:tc>
      </w:tr>
      <w:tr w:rsidR="00A62217" w:rsidRPr="009610A4" w14:paraId="690CE3A4" w14:textId="77777777" w:rsidTr="00C86C9F">
        <w:tc>
          <w:tcPr>
            <w:tcW w:w="378" w:type="dxa"/>
          </w:tcPr>
          <w:p w14:paraId="5FF9A2F3" w14:textId="77777777" w:rsidR="00A62217" w:rsidRDefault="00A62217" w:rsidP="00542376">
            <w:pPr>
              <w:contextualSpacing/>
            </w:pPr>
            <w:r>
              <w:t>*</w:t>
            </w:r>
          </w:p>
        </w:tc>
        <w:tc>
          <w:tcPr>
            <w:tcW w:w="1555" w:type="dxa"/>
          </w:tcPr>
          <w:p w14:paraId="06ED29F5" w14:textId="77777777" w:rsidR="00A62217" w:rsidRPr="009610A4" w:rsidDel="00E3448D" w:rsidRDefault="00A62217" w:rsidP="00542376">
            <w:pPr>
              <w:contextualSpacing/>
            </w:pPr>
            <w:proofErr w:type="spellStart"/>
            <w:r w:rsidRPr="00B4770A">
              <w:t>Frédéric</w:t>
            </w:r>
            <w:proofErr w:type="spellEnd"/>
          </w:p>
        </w:tc>
        <w:tc>
          <w:tcPr>
            <w:tcW w:w="1980" w:type="dxa"/>
          </w:tcPr>
          <w:p w14:paraId="536F6223" w14:textId="77777777" w:rsidR="00A62217" w:rsidRPr="009610A4" w:rsidRDefault="00A62217" w:rsidP="00542376">
            <w:pPr>
              <w:contextualSpacing/>
            </w:pPr>
            <w:r w:rsidRPr="00B4770A">
              <w:t>Duhamel</w:t>
            </w:r>
          </w:p>
        </w:tc>
        <w:tc>
          <w:tcPr>
            <w:tcW w:w="3960" w:type="dxa"/>
          </w:tcPr>
          <w:p w14:paraId="7314B327" w14:textId="77777777" w:rsidR="00A62217" w:rsidRPr="009610A4" w:rsidDel="00E3448D" w:rsidRDefault="00A62217" w:rsidP="00542376">
            <w:pPr>
              <w:contextualSpacing/>
            </w:pPr>
            <w:r w:rsidRPr="00A33658">
              <w:t>THALES GLOBAL SERVICES</w:t>
            </w:r>
          </w:p>
        </w:tc>
        <w:tc>
          <w:tcPr>
            <w:tcW w:w="1775" w:type="dxa"/>
          </w:tcPr>
          <w:p w14:paraId="7C29C238" w14:textId="77777777" w:rsidR="00A62217" w:rsidRDefault="00A62217" w:rsidP="00542376">
            <w:pPr>
              <w:contextualSpacing/>
            </w:pPr>
          </w:p>
        </w:tc>
      </w:tr>
      <w:tr w:rsidR="00A62217" w:rsidRPr="009610A4" w14:paraId="0B8BD155" w14:textId="77777777" w:rsidTr="00C86C9F">
        <w:tc>
          <w:tcPr>
            <w:tcW w:w="378" w:type="dxa"/>
          </w:tcPr>
          <w:p w14:paraId="2E85E9D0" w14:textId="77777777" w:rsidR="00A62217" w:rsidRDefault="00A62217" w:rsidP="006B7B26">
            <w:pPr>
              <w:contextualSpacing/>
            </w:pPr>
          </w:p>
        </w:tc>
        <w:tc>
          <w:tcPr>
            <w:tcW w:w="1555" w:type="dxa"/>
          </w:tcPr>
          <w:p w14:paraId="6267A53B" w14:textId="77777777" w:rsidR="00A62217" w:rsidRPr="009610A4" w:rsidDel="00E3448D" w:rsidRDefault="00A62217" w:rsidP="006B7B26">
            <w:pPr>
              <w:contextualSpacing/>
            </w:pPr>
            <w:r>
              <w:t>Kevin</w:t>
            </w:r>
          </w:p>
        </w:tc>
        <w:tc>
          <w:tcPr>
            <w:tcW w:w="1980" w:type="dxa"/>
          </w:tcPr>
          <w:p w14:paraId="3D3AAC04" w14:textId="77777777" w:rsidR="00A62217" w:rsidRPr="009610A4" w:rsidRDefault="00A62217" w:rsidP="006B7B26">
            <w:pPr>
              <w:contextualSpacing/>
            </w:pPr>
            <w:r>
              <w:t>Farnworth</w:t>
            </w:r>
          </w:p>
        </w:tc>
        <w:tc>
          <w:tcPr>
            <w:tcW w:w="3960" w:type="dxa"/>
          </w:tcPr>
          <w:p w14:paraId="0EE5D84B" w14:textId="77777777" w:rsidR="00A62217" w:rsidRPr="009610A4" w:rsidDel="00E3448D" w:rsidRDefault="00A62217" w:rsidP="006B7B26">
            <w:pPr>
              <w:contextualSpacing/>
            </w:pPr>
            <w:r w:rsidRPr="00294DEA">
              <w:t>BAE Systems Air &amp; Information</w:t>
            </w:r>
          </w:p>
        </w:tc>
        <w:tc>
          <w:tcPr>
            <w:tcW w:w="1775" w:type="dxa"/>
          </w:tcPr>
          <w:p w14:paraId="22A769A0" w14:textId="77777777" w:rsidR="00A62217" w:rsidRDefault="00A62217" w:rsidP="006B7B26">
            <w:pPr>
              <w:contextualSpacing/>
            </w:pPr>
          </w:p>
        </w:tc>
      </w:tr>
      <w:tr w:rsidR="00A62217" w:rsidRPr="009610A4" w14:paraId="4B7F60B3" w14:textId="77777777" w:rsidTr="0041651E">
        <w:tc>
          <w:tcPr>
            <w:tcW w:w="378" w:type="dxa"/>
          </w:tcPr>
          <w:p w14:paraId="0DEA51D2" w14:textId="77777777" w:rsidR="00A62217" w:rsidRDefault="00A62217" w:rsidP="00FC2FE1">
            <w:pPr>
              <w:contextualSpacing/>
            </w:pPr>
          </w:p>
        </w:tc>
        <w:tc>
          <w:tcPr>
            <w:tcW w:w="1555" w:type="dxa"/>
            <w:vAlign w:val="center"/>
          </w:tcPr>
          <w:p w14:paraId="715191A5" w14:textId="77777777" w:rsidR="00A62217" w:rsidRPr="009610A4" w:rsidDel="00E3448D" w:rsidRDefault="00A62217" w:rsidP="00FC2FE1">
            <w:pPr>
              <w:contextualSpacing/>
            </w:pPr>
            <w:r>
              <w:rPr>
                <w:rFonts w:cs="Arial"/>
                <w:szCs w:val="20"/>
              </w:rPr>
              <w:t>David</w:t>
            </w:r>
          </w:p>
        </w:tc>
        <w:tc>
          <w:tcPr>
            <w:tcW w:w="1980" w:type="dxa"/>
            <w:vAlign w:val="center"/>
          </w:tcPr>
          <w:p w14:paraId="614D5529" w14:textId="77777777" w:rsidR="00A62217" w:rsidRPr="009610A4" w:rsidRDefault="00A62217" w:rsidP="00FC2FE1">
            <w:pPr>
              <w:contextualSpacing/>
            </w:pPr>
            <w:proofErr w:type="spellStart"/>
            <w:r>
              <w:rPr>
                <w:rFonts w:cs="Arial"/>
                <w:szCs w:val="20"/>
              </w:rPr>
              <w:t>Frohs</w:t>
            </w:r>
            <w:proofErr w:type="spellEnd"/>
          </w:p>
        </w:tc>
        <w:tc>
          <w:tcPr>
            <w:tcW w:w="3960" w:type="dxa"/>
          </w:tcPr>
          <w:p w14:paraId="6EC8E739" w14:textId="77777777" w:rsidR="00A62217" w:rsidRPr="009610A4" w:rsidDel="00E3448D" w:rsidRDefault="00A62217" w:rsidP="00FC2FE1">
            <w:pPr>
              <w:contextualSpacing/>
            </w:pPr>
            <w:r w:rsidRPr="00281FDE">
              <w:t>UTAS Goodrich Control Systems</w:t>
            </w:r>
          </w:p>
        </w:tc>
        <w:tc>
          <w:tcPr>
            <w:tcW w:w="1775" w:type="dxa"/>
          </w:tcPr>
          <w:p w14:paraId="2C5B740A" w14:textId="77777777" w:rsidR="00A62217" w:rsidRDefault="00A62217" w:rsidP="00FC2FE1">
            <w:pPr>
              <w:contextualSpacing/>
            </w:pPr>
          </w:p>
        </w:tc>
      </w:tr>
      <w:tr w:rsidR="00A62217" w:rsidRPr="009610A4" w14:paraId="2141ADF5" w14:textId="77777777" w:rsidTr="0041651E">
        <w:tc>
          <w:tcPr>
            <w:tcW w:w="378" w:type="dxa"/>
          </w:tcPr>
          <w:p w14:paraId="70AD8E4A" w14:textId="77777777" w:rsidR="00A62217" w:rsidRDefault="00A62217" w:rsidP="00FC2FE1">
            <w:pPr>
              <w:contextualSpacing/>
            </w:pPr>
          </w:p>
        </w:tc>
        <w:tc>
          <w:tcPr>
            <w:tcW w:w="1555" w:type="dxa"/>
            <w:vAlign w:val="center"/>
          </w:tcPr>
          <w:p w14:paraId="4D388FDD" w14:textId="77777777" w:rsidR="00A62217" w:rsidRPr="009610A4" w:rsidDel="00E3448D" w:rsidRDefault="00A62217" w:rsidP="00FC2FE1">
            <w:pPr>
              <w:contextualSpacing/>
            </w:pPr>
            <w:r>
              <w:rPr>
                <w:rFonts w:cs="Arial"/>
                <w:szCs w:val="20"/>
              </w:rPr>
              <w:t>Paul</w:t>
            </w:r>
          </w:p>
        </w:tc>
        <w:tc>
          <w:tcPr>
            <w:tcW w:w="1980" w:type="dxa"/>
            <w:vAlign w:val="center"/>
          </w:tcPr>
          <w:p w14:paraId="0DF3E92E" w14:textId="77777777" w:rsidR="00A62217" w:rsidRPr="009610A4" w:rsidRDefault="00A62217" w:rsidP="00FC2FE1">
            <w:pPr>
              <w:contextualSpacing/>
            </w:pPr>
            <w:proofErr w:type="spellStart"/>
            <w:r>
              <w:rPr>
                <w:rFonts w:cs="Arial"/>
                <w:szCs w:val="20"/>
              </w:rPr>
              <w:t>Fulford</w:t>
            </w:r>
            <w:proofErr w:type="spellEnd"/>
          </w:p>
        </w:tc>
        <w:tc>
          <w:tcPr>
            <w:tcW w:w="3960" w:type="dxa"/>
          </w:tcPr>
          <w:p w14:paraId="61453FA8" w14:textId="77777777" w:rsidR="00A62217" w:rsidRPr="009610A4" w:rsidDel="00E3448D" w:rsidRDefault="00A62217" w:rsidP="00FC2FE1">
            <w:pPr>
              <w:contextualSpacing/>
            </w:pPr>
            <w:r w:rsidRPr="00281FDE">
              <w:t>GE Aviation</w:t>
            </w:r>
          </w:p>
        </w:tc>
        <w:tc>
          <w:tcPr>
            <w:tcW w:w="1775" w:type="dxa"/>
          </w:tcPr>
          <w:p w14:paraId="38A807D8" w14:textId="77777777" w:rsidR="00A62217" w:rsidRDefault="00A62217" w:rsidP="00FC2FE1">
            <w:pPr>
              <w:contextualSpacing/>
            </w:pPr>
          </w:p>
        </w:tc>
      </w:tr>
      <w:tr w:rsidR="00A62217" w:rsidRPr="009610A4" w14:paraId="2E26C8D5" w14:textId="77777777" w:rsidTr="0041651E">
        <w:tc>
          <w:tcPr>
            <w:tcW w:w="378" w:type="dxa"/>
          </w:tcPr>
          <w:p w14:paraId="6FBB443A" w14:textId="77777777" w:rsidR="00A62217" w:rsidRDefault="00A62217" w:rsidP="00FC2FE1">
            <w:pPr>
              <w:contextualSpacing/>
            </w:pPr>
            <w:r w:rsidRPr="0000567D">
              <w:t>*</w:t>
            </w:r>
          </w:p>
        </w:tc>
        <w:tc>
          <w:tcPr>
            <w:tcW w:w="1555" w:type="dxa"/>
            <w:vAlign w:val="center"/>
          </w:tcPr>
          <w:p w14:paraId="7E35560F" w14:textId="77777777" w:rsidR="00A62217" w:rsidRPr="009610A4" w:rsidDel="00E3448D" w:rsidRDefault="00A62217" w:rsidP="00FC2FE1">
            <w:pPr>
              <w:contextualSpacing/>
            </w:pPr>
            <w:r>
              <w:rPr>
                <w:rFonts w:cs="Arial"/>
                <w:szCs w:val="20"/>
              </w:rPr>
              <w:t>Gerald</w:t>
            </w:r>
          </w:p>
        </w:tc>
        <w:tc>
          <w:tcPr>
            <w:tcW w:w="1980" w:type="dxa"/>
            <w:vAlign w:val="center"/>
          </w:tcPr>
          <w:p w14:paraId="5F337A5A" w14:textId="77777777" w:rsidR="00A62217" w:rsidRPr="009610A4" w:rsidRDefault="00A62217" w:rsidP="00FC2FE1">
            <w:pPr>
              <w:contextualSpacing/>
            </w:pPr>
            <w:r>
              <w:rPr>
                <w:rFonts w:cs="Arial"/>
                <w:szCs w:val="20"/>
              </w:rPr>
              <w:t>Harvey</w:t>
            </w:r>
          </w:p>
        </w:tc>
        <w:tc>
          <w:tcPr>
            <w:tcW w:w="3960" w:type="dxa"/>
          </w:tcPr>
          <w:p w14:paraId="54E9C71B" w14:textId="77777777" w:rsidR="00A62217" w:rsidRPr="009610A4" w:rsidDel="00E3448D" w:rsidRDefault="00A62217" w:rsidP="00FC2FE1">
            <w:pPr>
              <w:contextualSpacing/>
            </w:pPr>
            <w:r w:rsidRPr="00281FDE">
              <w:t>Triumph Group</w:t>
            </w:r>
          </w:p>
        </w:tc>
        <w:tc>
          <w:tcPr>
            <w:tcW w:w="1775" w:type="dxa"/>
          </w:tcPr>
          <w:p w14:paraId="27882CAE" w14:textId="77777777" w:rsidR="00A62217" w:rsidRDefault="00A62217" w:rsidP="00FC2FE1">
            <w:pPr>
              <w:contextualSpacing/>
            </w:pPr>
          </w:p>
        </w:tc>
      </w:tr>
      <w:tr w:rsidR="00A62217" w:rsidRPr="009610A4" w14:paraId="7DE09818" w14:textId="77777777" w:rsidTr="00C86C9F">
        <w:tc>
          <w:tcPr>
            <w:tcW w:w="378" w:type="dxa"/>
          </w:tcPr>
          <w:p w14:paraId="20F36102" w14:textId="77777777" w:rsidR="00A62217" w:rsidRDefault="00A62217" w:rsidP="006B7B26">
            <w:pPr>
              <w:contextualSpacing/>
            </w:pPr>
          </w:p>
        </w:tc>
        <w:tc>
          <w:tcPr>
            <w:tcW w:w="1555" w:type="dxa"/>
          </w:tcPr>
          <w:p w14:paraId="33DD4419" w14:textId="77777777" w:rsidR="00A62217" w:rsidRPr="009610A4" w:rsidDel="00E3448D" w:rsidRDefault="00A62217" w:rsidP="006B7B26">
            <w:pPr>
              <w:contextualSpacing/>
            </w:pPr>
            <w:r>
              <w:t>Xia</w:t>
            </w:r>
          </w:p>
        </w:tc>
        <w:tc>
          <w:tcPr>
            <w:tcW w:w="1980" w:type="dxa"/>
          </w:tcPr>
          <w:p w14:paraId="4A8A39AA" w14:textId="77777777" w:rsidR="00A62217" w:rsidRPr="009610A4" w:rsidRDefault="00A62217" w:rsidP="006B7B26">
            <w:pPr>
              <w:contextualSpacing/>
            </w:pPr>
            <w:r>
              <w:t>Hong</w:t>
            </w:r>
          </w:p>
        </w:tc>
        <w:tc>
          <w:tcPr>
            <w:tcW w:w="3960" w:type="dxa"/>
          </w:tcPr>
          <w:p w14:paraId="33D30CA5" w14:textId="77777777" w:rsidR="00A62217" w:rsidRPr="009610A4" w:rsidDel="00E3448D" w:rsidRDefault="00A62217" w:rsidP="006B7B26">
            <w:pPr>
              <w:contextualSpacing/>
            </w:pPr>
            <w:r w:rsidRPr="00DF0B48">
              <w:t>Rolls-Royce PLC</w:t>
            </w:r>
          </w:p>
        </w:tc>
        <w:tc>
          <w:tcPr>
            <w:tcW w:w="1775" w:type="dxa"/>
          </w:tcPr>
          <w:p w14:paraId="4298E045" w14:textId="77777777" w:rsidR="00A62217" w:rsidRDefault="00A62217" w:rsidP="006B7B26">
            <w:pPr>
              <w:contextualSpacing/>
            </w:pPr>
          </w:p>
        </w:tc>
      </w:tr>
      <w:tr w:rsidR="00A62217" w:rsidRPr="009610A4" w14:paraId="269C4040" w14:textId="77777777" w:rsidTr="00C86C9F">
        <w:tc>
          <w:tcPr>
            <w:tcW w:w="378" w:type="dxa"/>
          </w:tcPr>
          <w:p w14:paraId="2C37D98A" w14:textId="77777777" w:rsidR="00A62217" w:rsidRDefault="00A62217" w:rsidP="006B7B26">
            <w:pPr>
              <w:contextualSpacing/>
            </w:pPr>
            <w:r>
              <w:t>*</w:t>
            </w:r>
          </w:p>
        </w:tc>
        <w:tc>
          <w:tcPr>
            <w:tcW w:w="1555" w:type="dxa"/>
          </w:tcPr>
          <w:p w14:paraId="75A150AE" w14:textId="77777777" w:rsidR="00A62217" w:rsidRPr="009610A4" w:rsidDel="00E3448D" w:rsidRDefault="00A62217" w:rsidP="006B7B26">
            <w:pPr>
              <w:contextualSpacing/>
            </w:pPr>
            <w:r>
              <w:t>Steven</w:t>
            </w:r>
          </w:p>
        </w:tc>
        <w:tc>
          <w:tcPr>
            <w:tcW w:w="1980" w:type="dxa"/>
          </w:tcPr>
          <w:p w14:paraId="48A12357" w14:textId="77777777" w:rsidR="00A62217" w:rsidRPr="009610A4" w:rsidRDefault="00A62217" w:rsidP="006B7B26">
            <w:pPr>
              <w:contextualSpacing/>
            </w:pPr>
            <w:r>
              <w:t>Judge</w:t>
            </w:r>
          </w:p>
        </w:tc>
        <w:tc>
          <w:tcPr>
            <w:tcW w:w="3960" w:type="dxa"/>
          </w:tcPr>
          <w:p w14:paraId="68D58B75" w14:textId="77777777" w:rsidR="00A62217" w:rsidRPr="009610A4" w:rsidDel="00E3448D" w:rsidRDefault="00A62217" w:rsidP="006B7B26">
            <w:pPr>
              <w:contextualSpacing/>
            </w:pPr>
            <w:r w:rsidRPr="00294DEA">
              <w:t>Bombardier Inc</w:t>
            </w:r>
            <w:r>
              <w:t>.</w:t>
            </w:r>
          </w:p>
        </w:tc>
        <w:tc>
          <w:tcPr>
            <w:tcW w:w="1775" w:type="dxa"/>
          </w:tcPr>
          <w:p w14:paraId="6353F2F3" w14:textId="77777777" w:rsidR="00A62217" w:rsidRDefault="00A62217" w:rsidP="006B7B26">
            <w:pPr>
              <w:contextualSpacing/>
            </w:pPr>
          </w:p>
        </w:tc>
      </w:tr>
      <w:tr w:rsidR="00A62217" w:rsidRPr="009610A4" w14:paraId="0DBF8E8F" w14:textId="77777777" w:rsidTr="0041651E">
        <w:tc>
          <w:tcPr>
            <w:tcW w:w="378" w:type="dxa"/>
          </w:tcPr>
          <w:p w14:paraId="5359A746" w14:textId="77777777" w:rsidR="00A62217" w:rsidRDefault="00A62217" w:rsidP="00FC2FE1">
            <w:pPr>
              <w:contextualSpacing/>
            </w:pPr>
            <w:r w:rsidRPr="0000567D">
              <w:t>*</w:t>
            </w:r>
          </w:p>
        </w:tc>
        <w:tc>
          <w:tcPr>
            <w:tcW w:w="1555" w:type="dxa"/>
            <w:vAlign w:val="center"/>
          </w:tcPr>
          <w:p w14:paraId="317301F8" w14:textId="77777777" w:rsidR="00A62217" w:rsidRPr="009610A4" w:rsidDel="00E3448D" w:rsidRDefault="00A62217" w:rsidP="00FC2FE1">
            <w:pPr>
              <w:contextualSpacing/>
            </w:pPr>
            <w:r>
              <w:rPr>
                <w:rFonts w:cs="Arial"/>
                <w:szCs w:val="20"/>
              </w:rPr>
              <w:t>Kazuhiro</w:t>
            </w:r>
          </w:p>
        </w:tc>
        <w:tc>
          <w:tcPr>
            <w:tcW w:w="1980" w:type="dxa"/>
            <w:vAlign w:val="center"/>
          </w:tcPr>
          <w:p w14:paraId="241F6342" w14:textId="77777777" w:rsidR="00A62217" w:rsidRPr="009610A4" w:rsidRDefault="00A62217" w:rsidP="00FC2FE1">
            <w:pPr>
              <w:contextualSpacing/>
            </w:pPr>
            <w:r>
              <w:rPr>
                <w:rFonts w:cs="Arial"/>
                <w:szCs w:val="20"/>
              </w:rPr>
              <w:t>Kajima</w:t>
            </w:r>
          </w:p>
        </w:tc>
        <w:tc>
          <w:tcPr>
            <w:tcW w:w="3960" w:type="dxa"/>
          </w:tcPr>
          <w:p w14:paraId="632F9E7C" w14:textId="77777777" w:rsidR="00A62217" w:rsidRPr="009610A4" w:rsidDel="00E3448D" w:rsidRDefault="00A62217" w:rsidP="00FC2FE1">
            <w:pPr>
              <w:contextualSpacing/>
            </w:pPr>
            <w:r w:rsidRPr="00281FDE">
              <w:t>Mitsubishi Heavy Industries, Ltd</w:t>
            </w:r>
            <w:r>
              <w:t>.</w:t>
            </w:r>
          </w:p>
        </w:tc>
        <w:tc>
          <w:tcPr>
            <w:tcW w:w="1775" w:type="dxa"/>
          </w:tcPr>
          <w:p w14:paraId="34DFEE23" w14:textId="77777777" w:rsidR="00A62217" w:rsidRDefault="00A62217" w:rsidP="00FC2FE1">
            <w:pPr>
              <w:contextualSpacing/>
            </w:pPr>
          </w:p>
        </w:tc>
      </w:tr>
      <w:tr w:rsidR="00A62217" w:rsidRPr="009610A4" w14:paraId="5F21541C" w14:textId="77777777" w:rsidTr="0041651E">
        <w:tc>
          <w:tcPr>
            <w:tcW w:w="378" w:type="dxa"/>
          </w:tcPr>
          <w:p w14:paraId="08CCAF43" w14:textId="77777777" w:rsidR="00A62217" w:rsidRDefault="00A62217" w:rsidP="00FC2FE1">
            <w:pPr>
              <w:contextualSpacing/>
            </w:pPr>
            <w:r w:rsidRPr="0000567D">
              <w:t>*</w:t>
            </w:r>
          </w:p>
        </w:tc>
        <w:tc>
          <w:tcPr>
            <w:tcW w:w="1555" w:type="dxa"/>
            <w:vAlign w:val="center"/>
          </w:tcPr>
          <w:p w14:paraId="2F6C505E" w14:textId="77777777" w:rsidR="00A62217" w:rsidRPr="009610A4" w:rsidDel="00E3448D" w:rsidRDefault="00A62217" w:rsidP="00FC2FE1">
            <w:pPr>
              <w:contextualSpacing/>
            </w:pPr>
            <w:r>
              <w:rPr>
                <w:rFonts w:cs="Arial"/>
                <w:szCs w:val="20"/>
              </w:rPr>
              <w:t>Martin</w:t>
            </w:r>
          </w:p>
        </w:tc>
        <w:tc>
          <w:tcPr>
            <w:tcW w:w="1980" w:type="dxa"/>
            <w:vAlign w:val="center"/>
          </w:tcPr>
          <w:p w14:paraId="6953F45F" w14:textId="77777777" w:rsidR="00A62217" w:rsidRPr="009610A4" w:rsidRDefault="00A62217" w:rsidP="00FC2FE1">
            <w:pPr>
              <w:contextualSpacing/>
            </w:pPr>
            <w:proofErr w:type="spellStart"/>
            <w:r>
              <w:rPr>
                <w:rFonts w:cs="Arial"/>
                <w:szCs w:val="20"/>
              </w:rPr>
              <w:t>Kolinko</w:t>
            </w:r>
            <w:proofErr w:type="spellEnd"/>
          </w:p>
        </w:tc>
        <w:tc>
          <w:tcPr>
            <w:tcW w:w="3960" w:type="dxa"/>
          </w:tcPr>
          <w:p w14:paraId="54D2D2A0" w14:textId="77777777" w:rsidR="00A62217" w:rsidRPr="009610A4" w:rsidDel="00E3448D" w:rsidRDefault="00A62217" w:rsidP="00FC2FE1">
            <w:pPr>
              <w:contextualSpacing/>
            </w:pPr>
            <w:r w:rsidRPr="00281FDE">
              <w:t>Eaton, Aerospace Group</w:t>
            </w:r>
          </w:p>
        </w:tc>
        <w:tc>
          <w:tcPr>
            <w:tcW w:w="1775" w:type="dxa"/>
          </w:tcPr>
          <w:p w14:paraId="36E73677" w14:textId="77777777" w:rsidR="00A62217" w:rsidRDefault="00A62217" w:rsidP="00FC2FE1">
            <w:pPr>
              <w:contextualSpacing/>
            </w:pPr>
          </w:p>
        </w:tc>
      </w:tr>
      <w:tr w:rsidR="00A62217" w:rsidRPr="009610A4" w14:paraId="75379173" w14:textId="77777777" w:rsidTr="0041651E">
        <w:tc>
          <w:tcPr>
            <w:tcW w:w="378" w:type="dxa"/>
          </w:tcPr>
          <w:p w14:paraId="1CA4B10F" w14:textId="77777777" w:rsidR="00A62217" w:rsidRDefault="00A62217" w:rsidP="00FC2FE1">
            <w:pPr>
              <w:contextualSpacing/>
            </w:pPr>
          </w:p>
        </w:tc>
        <w:tc>
          <w:tcPr>
            <w:tcW w:w="1555" w:type="dxa"/>
            <w:vAlign w:val="center"/>
          </w:tcPr>
          <w:p w14:paraId="75293BBA" w14:textId="77777777" w:rsidR="00A62217" w:rsidRPr="009610A4" w:rsidDel="00E3448D" w:rsidRDefault="00A62217" w:rsidP="00FC2FE1">
            <w:pPr>
              <w:contextualSpacing/>
            </w:pPr>
            <w:r>
              <w:rPr>
                <w:rFonts w:cs="Arial"/>
                <w:szCs w:val="20"/>
              </w:rPr>
              <w:t>Eric</w:t>
            </w:r>
          </w:p>
        </w:tc>
        <w:tc>
          <w:tcPr>
            <w:tcW w:w="1980" w:type="dxa"/>
            <w:vAlign w:val="center"/>
          </w:tcPr>
          <w:p w14:paraId="49E54003" w14:textId="77777777" w:rsidR="00A62217" w:rsidRPr="009610A4" w:rsidRDefault="00A62217" w:rsidP="00FC2FE1">
            <w:pPr>
              <w:contextualSpacing/>
            </w:pPr>
            <w:r>
              <w:rPr>
                <w:rFonts w:cs="Arial"/>
                <w:szCs w:val="20"/>
              </w:rPr>
              <w:t>Le Fort</w:t>
            </w:r>
          </w:p>
        </w:tc>
        <w:tc>
          <w:tcPr>
            <w:tcW w:w="3960" w:type="dxa"/>
          </w:tcPr>
          <w:p w14:paraId="7AD58D3A" w14:textId="77777777" w:rsidR="00A62217" w:rsidRPr="009610A4" w:rsidDel="00E3448D" w:rsidRDefault="00A62217" w:rsidP="00FC2FE1">
            <w:pPr>
              <w:contextualSpacing/>
            </w:pPr>
            <w:proofErr w:type="spellStart"/>
            <w:r w:rsidRPr="00281FDE">
              <w:t>Sonaca</w:t>
            </w:r>
            <w:proofErr w:type="spellEnd"/>
          </w:p>
        </w:tc>
        <w:tc>
          <w:tcPr>
            <w:tcW w:w="1775" w:type="dxa"/>
          </w:tcPr>
          <w:p w14:paraId="6D97D79D" w14:textId="77777777" w:rsidR="00A62217" w:rsidRDefault="00A62217" w:rsidP="00FC2FE1">
            <w:pPr>
              <w:contextualSpacing/>
            </w:pPr>
          </w:p>
        </w:tc>
      </w:tr>
      <w:tr w:rsidR="00A62217" w:rsidRPr="009610A4" w14:paraId="57EFB828" w14:textId="77777777" w:rsidTr="0041651E">
        <w:tc>
          <w:tcPr>
            <w:tcW w:w="378" w:type="dxa"/>
          </w:tcPr>
          <w:p w14:paraId="6FD3ECE0" w14:textId="77777777" w:rsidR="00A62217" w:rsidRDefault="00A62217" w:rsidP="00FC2FE1">
            <w:pPr>
              <w:contextualSpacing/>
            </w:pPr>
            <w:r w:rsidRPr="00C15D0F">
              <w:t>*</w:t>
            </w:r>
          </w:p>
        </w:tc>
        <w:tc>
          <w:tcPr>
            <w:tcW w:w="1555" w:type="dxa"/>
            <w:vAlign w:val="center"/>
          </w:tcPr>
          <w:p w14:paraId="30333035" w14:textId="77777777" w:rsidR="00A62217" w:rsidRPr="009610A4" w:rsidDel="00E3448D" w:rsidRDefault="00A62217" w:rsidP="00FC2FE1">
            <w:pPr>
              <w:contextualSpacing/>
            </w:pPr>
            <w:r>
              <w:rPr>
                <w:rFonts w:cs="Arial"/>
                <w:szCs w:val="20"/>
              </w:rPr>
              <w:t>Marc-André</w:t>
            </w:r>
          </w:p>
        </w:tc>
        <w:tc>
          <w:tcPr>
            <w:tcW w:w="1980" w:type="dxa"/>
            <w:vAlign w:val="center"/>
          </w:tcPr>
          <w:p w14:paraId="36CD2B36" w14:textId="77777777" w:rsidR="00A62217" w:rsidRPr="009610A4" w:rsidRDefault="00A62217" w:rsidP="00FC2FE1">
            <w:pPr>
              <w:contextualSpacing/>
            </w:pPr>
            <w:r>
              <w:rPr>
                <w:rFonts w:cs="Arial"/>
                <w:szCs w:val="20"/>
              </w:rPr>
              <w:t>Lefebvre</w:t>
            </w:r>
          </w:p>
        </w:tc>
        <w:tc>
          <w:tcPr>
            <w:tcW w:w="3960" w:type="dxa"/>
          </w:tcPr>
          <w:p w14:paraId="77FF74CE" w14:textId="77777777" w:rsidR="00A62217" w:rsidRPr="009610A4" w:rsidDel="00E3448D" w:rsidRDefault="00A62217" w:rsidP="00FC2FE1">
            <w:pPr>
              <w:contextualSpacing/>
            </w:pPr>
            <w:proofErr w:type="spellStart"/>
            <w:r w:rsidRPr="00281FDE">
              <w:t>Héroux-Devtek</w:t>
            </w:r>
            <w:proofErr w:type="spellEnd"/>
            <w:r w:rsidRPr="00281FDE">
              <w:t xml:space="preserve"> Inc.</w:t>
            </w:r>
          </w:p>
        </w:tc>
        <w:tc>
          <w:tcPr>
            <w:tcW w:w="1775" w:type="dxa"/>
          </w:tcPr>
          <w:p w14:paraId="1E30F9E6" w14:textId="77777777" w:rsidR="00A62217" w:rsidRDefault="00A62217" w:rsidP="00FC2FE1">
            <w:pPr>
              <w:contextualSpacing/>
            </w:pPr>
          </w:p>
        </w:tc>
      </w:tr>
      <w:tr w:rsidR="00A62217" w:rsidRPr="009610A4" w14:paraId="4881DAC3" w14:textId="77777777" w:rsidTr="0041651E">
        <w:tc>
          <w:tcPr>
            <w:tcW w:w="378" w:type="dxa"/>
          </w:tcPr>
          <w:p w14:paraId="2278BAF0" w14:textId="77777777" w:rsidR="00A62217" w:rsidRDefault="00A62217" w:rsidP="00FC2FE1">
            <w:pPr>
              <w:contextualSpacing/>
            </w:pPr>
            <w:r w:rsidRPr="00C15D0F">
              <w:t>*</w:t>
            </w:r>
          </w:p>
        </w:tc>
        <w:tc>
          <w:tcPr>
            <w:tcW w:w="1555" w:type="dxa"/>
            <w:vAlign w:val="center"/>
          </w:tcPr>
          <w:p w14:paraId="0CA84BF4" w14:textId="77777777" w:rsidR="00A62217" w:rsidRPr="009610A4" w:rsidDel="00E3448D" w:rsidRDefault="00A62217" w:rsidP="00FC2FE1">
            <w:pPr>
              <w:contextualSpacing/>
            </w:pPr>
            <w:r>
              <w:rPr>
                <w:rFonts w:cs="Arial"/>
                <w:szCs w:val="20"/>
              </w:rPr>
              <w:t>Susan</w:t>
            </w:r>
          </w:p>
        </w:tc>
        <w:tc>
          <w:tcPr>
            <w:tcW w:w="1980" w:type="dxa"/>
            <w:vAlign w:val="center"/>
          </w:tcPr>
          <w:p w14:paraId="2F767D0C" w14:textId="77777777" w:rsidR="00A62217" w:rsidRPr="009610A4" w:rsidRDefault="00A62217" w:rsidP="00FC2FE1">
            <w:pPr>
              <w:contextualSpacing/>
            </w:pPr>
            <w:r>
              <w:rPr>
                <w:rFonts w:cs="Arial"/>
                <w:szCs w:val="20"/>
              </w:rPr>
              <w:t>Lewis</w:t>
            </w:r>
          </w:p>
        </w:tc>
        <w:tc>
          <w:tcPr>
            <w:tcW w:w="3960" w:type="dxa"/>
          </w:tcPr>
          <w:p w14:paraId="6FA8120B" w14:textId="77777777" w:rsidR="00A62217" w:rsidRPr="009610A4" w:rsidDel="00E3448D" w:rsidRDefault="00A62217" w:rsidP="00FC2FE1">
            <w:pPr>
              <w:contextualSpacing/>
            </w:pPr>
            <w:r w:rsidRPr="00281FDE">
              <w:t>Lockheed Martin Corp.</w:t>
            </w:r>
          </w:p>
        </w:tc>
        <w:tc>
          <w:tcPr>
            <w:tcW w:w="1775" w:type="dxa"/>
          </w:tcPr>
          <w:p w14:paraId="1DC9244A" w14:textId="77777777" w:rsidR="00A62217" w:rsidRDefault="00A62217" w:rsidP="00FC2FE1">
            <w:pPr>
              <w:contextualSpacing/>
            </w:pPr>
          </w:p>
        </w:tc>
      </w:tr>
      <w:tr w:rsidR="00A62217" w:rsidRPr="009610A4" w14:paraId="071477F8" w14:textId="77777777" w:rsidTr="0041651E">
        <w:tc>
          <w:tcPr>
            <w:tcW w:w="378" w:type="dxa"/>
          </w:tcPr>
          <w:p w14:paraId="38B2474D" w14:textId="77777777" w:rsidR="00A62217" w:rsidRDefault="00A62217" w:rsidP="00FC2FE1">
            <w:pPr>
              <w:contextualSpacing/>
            </w:pPr>
          </w:p>
        </w:tc>
        <w:tc>
          <w:tcPr>
            <w:tcW w:w="1555" w:type="dxa"/>
            <w:vAlign w:val="center"/>
          </w:tcPr>
          <w:p w14:paraId="2A66345C" w14:textId="77777777" w:rsidR="00A62217" w:rsidRPr="009610A4" w:rsidDel="00E3448D" w:rsidRDefault="00A62217" w:rsidP="00FC2FE1">
            <w:pPr>
              <w:contextualSpacing/>
            </w:pPr>
            <w:r>
              <w:rPr>
                <w:rFonts w:cs="Arial"/>
                <w:szCs w:val="20"/>
              </w:rPr>
              <w:t>Adrien</w:t>
            </w:r>
          </w:p>
        </w:tc>
        <w:tc>
          <w:tcPr>
            <w:tcW w:w="1980" w:type="dxa"/>
            <w:vAlign w:val="center"/>
          </w:tcPr>
          <w:p w14:paraId="2DF369AA" w14:textId="77777777" w:rsidR="00A62217" w:rsidRPr="009610A4" w:rsidRDefault="00A62217" w:rsidP="00FC2FE1">
            <w:pPr>
              <w:contextualSpacing/>
            </w:pPr>
            <w:proofErr w:type="spellStart"/>
            <w:r>
              <w:rPr>
                <w:rFonts w:cs="Arial"/>
                <w:szCs w:val="20"/>
              </w:rPr>
              <w:t>Maffre</w:t>
            </w:r>
            <w:proofErr w:type="spellEnd"/>
          </w:p>
        </w:tc>
        <w:tc>
          <w:tcPr>
            <w:tcW w:w="3960" w:type="dxa"/>
          </w:tcPr>
          <w:p w14:paraId="6E297A18" w14:textId="77777777" w:rsidR="00A62217" w:rsidRPr="009610A4" w:rsidDel="00E3448D" w:rsidRDefault="00A62217" w:rsidP="00FC2FE1">
            <w:pPr>
              <w:contextualSpacing/>
            </w:pPr>
            <w:r w:rsidRPr="00281FDE">
              <w:t>AIRBUS</w:t>
            </w:r>
          </w:p>
        </w:tc>
        <w:tc>
          <w:tcPr>
            <w:tcW w:w="1775" w:type="dxa"/>
          </w:tcPr>
          <w:p w14:paraId="483DD4AB" w14:textId="77777777" w:rsidR="00A62217" w:rsidRDefault="00A62217" w:rsidP="00FC2FE1">
            <w:pPr>
              <w:contextualSpacing/>
            </w:pPr>
          </w:p>
        </w:tc>
      </w:tr>
      <w:tr w:rsidR="00A62217" w:rsidRPr="009610A4" w14:paraId="057D28EB" w14:textId="77777777" w:rsidTr="0041651E">
        <w:tc>
          <w:tcPr>
            <w:tcW w:w="378" w:type="dxa"/>
          </w:tcPr>
          <w:p w14:paraId="374B2263" w14:textId="77777777" w:rsidR="00A62217" w:rsidRDefault="00A62217" w:rsidP="00FC2FE1">
            <w:pPr>
              <w:contextualSpacing/>
            </w:pPr>
            <w:r w:rsidRPr="008927E2">
              <w:t>*</w:t>
            </w:r>
          </w:p>
        </w:tc>
        <w:tc>
          <w:tcPr>
            <w:tcW w:w="1555" w:type="dxa"/>
            <w:vAlign w:val="center"/>
          </w:tcPr>
          <w:p w14:paraId="5872F9C5" w14:textId="77777777" w:rsidR="00A62217" w:rsidRPr="009610A4" w:rsidDel="00E3448D" w:rsidRDefault="00A62217" w:rsidP="00FC2FE1">
            <w:pPr>
              <w:contextualSpacing/>
            </w:pPr>
            <w:r>
              <w:rPr>
                <w:rFonts w:cs="Arial"/>
                <w:szCs w:val="20"/>
              </w:rPr>
              <w:t>Nick</w:t>
            </w:r>
          </w:p>
        </w:tc>
        <w:tc>
          <w:tcPr>
            <w:tcW w:w="1980" w:type="dxa"/>
            <w:vAlign w:val="center"/>
          </w:tcPr>
          <w:p w14:paraId="4DE4D12F" w14:textId="77777777" w:rsidR="00A62217" w:rsidRPr="009610A4" w:rsidRDefault="00A62217" w:rsidP="00FC2FE1">
            <w:pPr>
              <w:contextualSpacing/>
            </w:pPr>
            <w:proofErr w:type="spellStart"/>
            <w:r>
              <w:rPr>
                <w:rFonts w:cs="Arial"/>
                <w:szCs w:val="20"/>
              </w:rPr>
              <w:t>Magnapera</w:t>
            </w:r>
            <w:proofErr w:type="spellEnd"/>
          </w:p>
        </w:tc>
        <w:tc>
          <w:tcPr>
            <w:tcW w:w="3960" w:type="dxa"/>
          </w:tcPr>
          <w:p w14:paraId="5E39D103" w14:textId="77777777" w:rsidR="00A62217" w:rsidRPr="009610A4" w:rsidDel="00E3448D" w:rsidRDefault="00A62217" w:rsidP="00FC2FE1">
            <w:pPr>
              <w:contextualSpacing/>
            </w:pPr>
            <w:r w:rsidRPr="00281FDE">
              <w:t>BAE Systems Inc.</w:t>
            </w:r>
          </w:p>
        </w:tc>
        <w:tc>
          <w:tcPr>
            <w:tcW w:w="1775" w:type="dxa"/>
          </w:tcPr>
          <w:p w14:paraId="6B14513B" w14:textId="77777777" w:rsidR="00A62217" w:rsidRDefault="00A62217" w:rsidP="00FC2FE1">
            <w:pPr>
              <w:contextualSpacing/>
            </w:pPr>
          </w:p>
        </w:tc>
      </w:tr>
      <w:tr w:rsidR="00A62217" w:rsidRPr="009610A4" w14:paraId="6DEAB5EB" w14:textId="77777777" w:rsidTr="0041651E">
        <w:tc>
          <w:tcPr>
            <w:tcW w:w="378" w:type="dxa"/>
          </w:tcPr>
          <w:p w14:paraId="2D9762D0" w14:textId="77777777" w:rsidR="00A62217" w:rsidRDefault="00A62217" w:rsidP="00FC2FE1">
            <w:pPr>
              <w:contextualSpacing/>
            </w:pPr>
            <w:r w:rsidRPr="008927E2">
              <w:t>*</w:t>
            </w:r>
          </w:p>
        </w:tc>
        <w:tc>
          <w:tcPr>
            <w:tcW w:w="1555" w:type="dxa"/>
            <w:vAlign w:val="center"/>
          </w:tcPr>
          <w:p w14:paraId="23B69C2F" w14:textId="77777777" w:rsidR="00A62217" w:rsidRPr="009610A4" w:rsidDel="00E3448D" w:rsidRDefault="00A62217" w:rsidP="00FC2FE1">
            <w:pPr>
              <w:contextualSpacing/>
            </w:pPr>
            <w:r>
              <w:rPr>
                <w:rFonts w:cs="Arial"/>
                <w:szCs w:val="20"/>
              </w:rPr>
              <w:t>Véronique</w:t>
            </w:r>
          </w:p>
        </w:tc>
        <w:tc>
          <w:tcPr>
            <w:tcW w:w="1980" w:type="dxa"/>
            <w:vAlign w:val="center"/>
          </w:tcPr>
          <w:p w14:paraId="2F9269A7" w14:textId="77777777" w:rsidR="00A62217" w:rsidRPr="009610A4" w:rsidRDefault="00A62217" w:rsidP="00FC2FE1">
            <w:pPr>
              <w:contextualSpacing/>
            </w:pPr>
            <w:r>
              <w:rPr>
                <w:rFonts w:cs="Arial"/>
                <w:szCs w:val="20"/>
              </w:rPr>
              <w:t>Marcel</w:t>
            </w:r>
          </w:p>
        </w:tc>
        <w:tc>
          <w:tcPr>
            <w:tcW w:w="3960" w:type="dxa"/>
          </w:tcPr>
          <w:p w14:paraId="1EEBF673" w14:textId="77777777" w:rsidR="00A62217" w:rsidRPr="009610A4" w:rsidDel="00E3448D" w:rsidRDefault="00A62217" w:rsidP="00FC2FE1">
            <w:pPr>
              <w:contextualSpacing/>
            </w:pPr>
            <w:r w:rsidRPr="00281FDE">
              <w:t>SAFRAN</w:t>
            </w:r>
          </w:p>
        </w:tc>
        <w:tc>
          <w:tcPr>
            <w:tcW w:w="1775" w:type="dxa"/>
          </w:tcPr>
          <w:p w14:paraId="5D5A57E4" w14:textId="77777777" w:rsidR="00A62217" w:rsidRDefault="00A62217" w:rsidP="00FC2FE1">
            <w:pPr>
              <w:contextualSpacing/>
            </w:pPr>
          </w:p>
        </w:tc>
      </w:tr>
      <w:tr w:rsidR="00A62217" w:rsidRPr="009610A4" w14:paraId="13025531" w14:textId="77777777" w:rsidTr="00C86C9F">
        <w:tc>
          <w:tcPr>
            <w:tcW w:w="378" w:type="dxa"/>
          </w:tcPr>
          <w:p w14:paraId="6051EE62" w14:textId="77777777" w:rsidR="00A62217" w:rsidRDefault="00A62217" w:rsidP="006B7B26">
            <w:pPr>
              <w:contextualSpacing/>
            </w:pPr>
          </w:p>
        </w:tc>
        <w:tc>
          <w:tcPr>
            <w:tcW w:w="1555" w:type="dxa"/>
          </w:tcPr>
          <w:p w14:paraId="423302BD" w14:textId="77777777" w:rsidR="00A62217" w:rsidRPr="009610A4" w:rsidDel="00E3448D" w:rsidRDefault="00A62217" w:rsidP="006B7B26">
            <w:pPr>
              <w:contextualSpacing/>
            </w:pPr>
            <w:r w:rsidRPr="000A1FCC">
              <w:t>Russell</w:t>
            </w:r>
          </w:p>
        </w:tc>
        <w:tc>
          <w:tcPr>
            <w:tcW w:w="1980" w:type="dxa"/>
          </w:tcPr>
          <w:p w14:paraId="39FCDE08" w14:textId="77777777" w:rsidR="00A62217" w:rsidRPr="009610A4" w:rsidRDefault="00A62217" w:rsidP="006B7B26">
            <w:pPr>
              <w:contextualSpacing/>
            </w:pPr>
            <w:proofErr w:type="spellStart"/>
            <w:r w:rsidRPr="000A1FCC">
              <w:t>Mastergeorge</w:t>
            </w:r>
            <w:proofErr w:type="spellEnd"/>
          </w:p>
        </w:tc>
        <w:tc>
          <w:tcPr>
            <w:tcW w:w="3960" w:type="dxa"/>
          </w:tcPr>
          <w:p w14:paraId="34DEBCC9" w14:textId="77777777" w:rsidR="00A62217" w:rsidRPr="009610A4" w:rsidDel="00E3448D" w:rsidRDefault="00A62217" w:rsidP="006B7B26">
            <w:pPr>
              <w:contextualSpacing/>
            </w:pPr>
            <w:r w:rsidRPr="000A1FCC">
              <w:t>Parker Aerospace Group</w:t>
            </w:r>
          </w:p>
        </w:tc>
        <w:tc>
          <w:tcPr>
            <w:tcW w:w="1775" w:type="dxa"/>
          </w:tcPr>
          <w:p w14:paraId="5FFD49BA" w14:textId="77777777" w:rsidR="00A62217" w:rsidRDefault="00A62217" w:rsidP="006B7B26">
            <w:pPr>
              <w:contextualSpacing/>
            </w:pPr>
          </w:p>
        </w:tc>
      </w:tr>
      <w:tr w:rsidR="00A62217" w:rsidRPr="009610A4" w14:paraId="1AF19F75" w14:textId="77777777" w:rsidTr="00C86C9F">
        <w:tc>
          <w:tcPr>
            <w:tcW w:w="378" w:type="dxa"/>
          </w:tcPr>
          <w:p w14:paraId="5B8AEC80" w14:textId="77777777" w:rsidR="00A62217" w:rsidRDefault="00A62217" w:rsidP="006B7B26">
            <w:pPr>
              <w:contextualSpacing/>
            </w:pPr>
          </w:p>
        </w:tc>
        <w:tc>
          <w:tcPr>
            <w:tcW w:w="1555" w:type="dxa"/>
          </w:tcPr>
          <w:p w14:paraId="7B9FD113" w14:textId="77777777" w:rsidR="00A62217" w:rsidRPr="009610A4" w:rsidDel="00E3448D" w:rsidRDefault="00A62217" w:rsidP="006B7B26">
            <w:pPr>
              <w:contextualSpacing/>
            </w:pPr>
            <w:r w:rsidRPr="00294DEA">
              <w:t>Robin</w:t>
            </w:r>
          </w:p>
        </w:tc>
        <w:tc>
          <w:tcPr>
            <w:tcW w:w="1980" w:type="dxa"/>
          </w:tcPr>
          <w:p w14:paraId="3D24B94B" w14:textId="77777777" w:rsidR="00A62217" w:rsidRPr="009610A4" w:rsidRDefault="00A62217" w:rsidP="006B7B26">
            <w:pPr>
              <w:contextualSpacing/>
            </w:pPr>
            <w:proofErr w:type="spellStart"/>
            <w:r w:rsidRPr="00294DEA">
              <w:t>McGuckin</w:t>
            </w:r>
            <w:proofErr w:type="spellEnd"/>
          </w:p>
        </w:tc>
        <w:tc>
          <w:tcPr>
            <w:tcW w:w="3960" w:type="dxa"/>
          </w:tcPr>
          <w:p w14:paraId="44E54198" w14:textId="77777777" w:rsidR="00A62217" w:rsidRPr="009610A4" w:rsidDel="00E3448D" w:rsidRDefault="00A62217" w:rsidP="006B7B26">
            <w:pPr>
              <w:contextualSpacing/>
            </w:pPr>
            <w:r w:rsidRPr="00294DEA">
              <w:t>Bombardier Inc</w:t>
            </w:r>
            <w:r>
              <w:t>.</w:t>
            </w:r>
          </w:p>
        </w:tc>
        <w:tc>
          <w:tcPr>
            <w:tcW w:w="1775" w:type="dxa"/>
          </w:tcPr>
          <w:p w14:paraId="2A124BC5" w14:textId="77777777" w:rsidR="00A62217" w:rsidRDefault="00A62217" w:rsidP="006B7B26">
            <w:pPr>
              <w:contextualSpacing/>
            </w:pPr>
          </w:p>
        </w:tc>
      </w:tr>
      <w:tr w:rsidR="00A62217" w:rsidRPr="009610A4" w14:paraId="054A8291" w14:textId="77777777" w:rsidTr="0041651E">
        <w:tc>
          <w:tcPr>
            <w:tcW w:w="378" w:type="dxa"/>
          </w:tcPr>
          <w:p w14:paraId="427F0BA5" w14:textId="77777777" w:rsidR="00A62217" w:rsidRDefault="00A62217" w:rsidP="00FC2FE1">
            <w:pPr>
              <w:contextualSpacing/>
            </w:pPr>
          </w:p>
        </w:tc>
        <w:tc>
          <w:tcPr>
            <w:tcW w:w="1555" w:type="dxa"/>
            <w:vAlign w:val="center"/>
          </w:tcPr>
          <w:p w14:paraId="1EEE7F00" w14:textId="77777777" w:rsidR="00A62217" w:rsidRPr="009610A4" w:rsidDel="00E3448D" w:rsidRDefault="00A62217" w:rsidP="00FC2FE1">
            <w:pPr>
              <w:contextualSpacing/>
            </w:pPr>
            <w:r>
              <w:rPr>
                <w:rFonts w:cs="Arial"/>
                <w:color w:val="000000"/>
                <w:szCs w:val="20"/>
              </w:rPr>
              <w:t>Charles</w:t>
            </w:r>
          </w:p>
        </w:tc>
        <w:tc>
          <w:tcPr>
            <w:tcW w:w="1980" w:type="dxa"/>
            <w:vAlign w:val="center"/>
          </w:tcPr>
          <w:p w14:paraId="3E8AF678" w14:textId="77777777" w:rsidR="00A62217" w:rsidRPr="009610A4" w:rsidRDefault="00A62217" w:rsidP="00FC2FE1">
            <w:pPr>
              <w:contextualSpacing/>
            </w:pPr>
            <w:r>
              <w:rPr>
                <w:rFonts w:cs="Arial"/>
                <w:color w:val="000000"/>
                <w:szCs w:val="20"/>
              </w:rPr>
              <w:t>Mendes</w:t>
            </w:r>
          </w:p>
        </w:tc>
        <w:tc>
          <w:tcPr>
            <w:tcW w:w="3960" w:type="dxa"/>
          </w:tcPr>
          <w:p w14:paraId="741E40C4" w14:textId="77777777" w:rsidR="00A62217" w:rsidRPr="009610A4" w:rsidDel="00E3448D" w:rsidRDefault="00A62217" w:rsidP="00FC2FE1">
            <w:pPr>
              <w:contextualSpacing/>
            </w:pPr>
            <w:r w:rsidRPr="00281FDE">
              <w:t>GE Aviation</w:t>
            </w:r>
          </w:p>
        </w:tc>
        <w:tc>
          <w:tcPr>
            <w:tcW w:w="1775" w:type="dxa"/>
          </w:tcPr>
          <w:p w14:paraId="47A7A3FA" w14:textId="77777777" w:rsidR="00A62217" w:rsidRDefault="00A62217" w:rsidP="00FC2FE1">
            <w:pPr>
              <w:contextualSpacing/>
            </w:pPr>
          </w:p>
        </w:tc>
      </w:tr>
      <w:tr w:rsidR="00A62217" w:rsidRPr="009610A4" w14:paraId="339D8D3F" w14:textId="77777777" w:rsidTr="00C86C9F">
        <w:tc>
          <w:tcPr>
            <w:tcW w:w="378" w:type="dxa"/>
          </w:tcPr>
          <w:p w14:paraId="167FB8DD" w14:textId="77777777" w:rsidR="00A62217" w:rsidRDefault="00A62217" w:rsidP="006B7B26">
            <w:pPr>
              <w:contextualSpacing/>
            </w:pPr>
            <w:r>
              <w:t>*</w:t>
            </w:r>
          </w:p>
        </w:tc>
        <w:tc>
          <w:tcPr>
            <w:tcW w:w="1555" w:type="dxa"/>
          </w:tcPr>
          <w:p w14:paraId="3CE3B500" w14:textId="77777777" w:rsidR="00A62217" w:rsidRPr="009610A4" w:rsidDel="00E3448D" w:rsidRDefault="00A62217" w:rsidP="006B7B26">
            <w:pPr>
              <w:contextualSpacing/>
            </w:pPr>
            <w:r>
              <w:t>Minh</w:t>
            </w:r>
          </w:p>
        </w:tc>
        <w:tc>
          <w:tcPr>
            <w:tcW w:w="1980" w:type="dxa"/>
          </w:tcPr>
          <w:p w14:paraId="06A39C1E" w14:textId="77777777" w:rsidR="00A62217" w:rsidRPr="009610A4" w:rsidRDefault="00A62217" w:rsidP="006B7B26">
            <w:pPr>
              <w:contextualSpacing/>
            </w:pPr>
            <w:proofErr w:type="spellStart"/>
            <w:r>
              <w:t>Quan</w:t>
            </w:r>
            <w:proofErr w:type="spellEnd"/>
          </w:p>
        </w:tc>
        <w:tc>
          <w:tcPr>
            <w:tcW w:w="3960" w:type="dxa"/>
          </w:tcPr>
          <w:p w14:paraId="4DA8D994" w14:textId="77777777" w:rsidR="00A62217" w:rsidRPr="009610A4" w:rsidDel="00E3448D" w:rsidRDefault="00A62217" w:rsidP="006B7B26">
            <w:pPr>
              <w:contextualSpacing/>
            </w:pPr>
            <w:r w:rsidRPr="00203F18">
              <w:t xml:space="preserve">Triumph </w:t>
            </w:r>
            <w:proofErr w:type="spellStart"/>
            <w:r w:rsidRPr="00203F18">
              <w:t>Aerostructures</w:t>
            </w:r>
            <w:proofErr w:type="spellEnd"/>
            <w:r w:rsidRPr="00203F18">
              <w:t xml:space="preserve"> - VAD</w:t>
            </w:r>
          </w:p>
        </w:tc>
        <w:tc>
          <w:tcPr>
            <w:tcW w:w="1775" w:type="dxa"/>
          </w:tcPr>
          <w:p w14:paraId="61AFE2D2" w14:textId="77777777" w:rsidR="00A62217" w:rsidRDefault="00A62217" w:rsidP="006B7B26">
            <w:pPr>
              <w:contextualSpacing/>
            </w:pPr>
          </w:p>
        </w:tc>
      </w:tr>
      <w:tr w:rsidR="00A62217" w:rsidRPr="009610A4" w14:paraId="19062BBE" w14:textId="77777777" w:rsidTr="0041651E">
        <w:tc>
          <w:tcPr>
            <w:tcW w:w="378" w:type="dxa"/>
          </w:tcPr>
          <w:p w14:paraId="3E408680" w14:textId="77777777" w:rsidR="00A62217" w:rsidRDefault="00A62217" w:rsidP="00FC2FE1">
            <w:pPr>
              <w:contextualSpacing/>
            </w:pPr>
          </w:p>
        </w:tc>
        <w:tc>
          <w:tcPr>
            <w:tcW w:w="1555" w:type="dxa"/>
            <w:vAlign w:val="center"/>
          </w:tcPr>
          <w:p w14:paraId="4C74A375" w14:textId="77777777" w:rsidR="00A62217" w:rsidRPr="009610A4" w:rsidDel="00E3448D" w:rsidRDefault="00A62217" w:rsidP="00FC2FE1">
            <w:pPr>
              <w:contextualSpacing/>
            </w:pPr>
            <w:r>
              <w:rPr>
                <w:rFonts w:cs="Arial"/>
                <w:color w:val="000000"/>
                <w:szCs w:val="20"/>
              </w:rPr>
              <w:t>Carl</w:t>
            </w:r>
          </w:p>
        </w:tc>
        <w:tc>
          <w:tcPr>
            <w:tcW w:w="1980" w:type="dxa"/>
            <w:vAlign w:val="center"/>
          </w:tcPr>
          <w:p w14:paraId="31AF99DE" w14:textId="77777777" w:rsidR="00A62217" w:rsidRPr="009610A4" w:rsidRDefault="00A62217" w:rsidP="00FC2FE1">
            <w:pPr>
              <w:contextualSpacing/>
            </w:pPr>
            <w:r>
              <w:rPr>
                <w:rFonts w:cs="Arial"/>
                <w:color w:val="000000"/>
                <w:szCs w:val="20"/>
              </w:rPr>
              <w:t>Roche</w:t>
            </w:r>
          </w:p>
        </w:tc>
        <w:tc>
          <w:tcPr>
            <w:tcW w:w="3960" w:type="dxa"/>
          </w:tcPr>
          <w:p w14:paraId="38AEB5BC" w14:textId="77777777" w:rsidR="00A62217" w:rsidRPr="009610A4" w:rsidDel="00E3448D" w:rsidRDefault="00A62217" w:rsidP="00FC2FE1">
            <w:pPr>
              <w:contextualSpacing/>
            </w:pPr>
            <w:r w:rsidRPr="00281FDE">
              <w:t>UTC Aerospace (Goodrich)</w:t>
            </w:r>
          </w:p>
        </w:tc>
        <w:tc>
          <w:tcPr>
            <w:tcW w:w="1775" w:type="dxa"/>
          </w:tcPr>
          <w:p w14:paraId="217ED034" w14:textId="77777777" w:rsidR="00A62217" w:rsidRDefault="00A62217" w:rsidP="00FC2FE1">
            <w:pPr>
              <w:contextualSpacing/>
            </w:pPr>
          </w:p>
        </w:tc>
      </w:tr>
      <w:tr w:rsidR="00A62217" w:rsidRPr="009610A4" w14:paraId="5FB30C1F" w14:textId="77777777" w:rsidTr="0041651E">
        <w:tc>
          <w:tcPr>
            <w:tcW w:w="378" w:type="dxa"/>
          </w:tcPr>
          <w:p w14:paraId="1CC8CB21" w14:textId="77777777" w:rsidR="00A62217" w:rsidRDefault="00A62217" w:rsidP="00FC2FE1">
            <w:pPr>
              <w:contextualSpacing/>
            </w:pPr>
            <w:r w:rsidRPr="006113FD">
              <w:t>*</w:t>
            </w:r>
          </w:p>
        </w:tc>
        <w:tc>
          <w:tcPr>
            <w:tcW w:w="1555" w:type="dxa"/>
            <w:vAlign w:val="center"/>
          </w:tcPr>
          <w:p w14:paraId="5E255FD1" w14:textId="77777777" w:rsidR="00A62217" w:rsidRPr="009610A4" w:rsidDel="00E3448D" w:rsidRDefault="00A62217" w:rsidP="00FC2FE1">
            <w:pPr>
              <w:contextualSpacing/>
            </w:pPr>
            <w:r>
              <w:rPr>
                <w:rFonts w:cs="Arial"/>
                <w:color w:val="000000"/>
                <w:szCs w:val="20"/>
              </w:rPr>
              <w:t>Josefa</w:t>
            </w:r>
          </w:p>
        </w:tc>
        <w:tc>
          <w:tcPr>
            <w:tcW w:w="1980" w:type="dxa"/>
            <w:vAlign w:val="center"/>
          </w:tcPr>
          <w:p w14:paraId="5AD9C2EB" w14:textId="77777777" w:rsidR="00A62217" w:rsidRPr="009610A4" w:rsidRDefault="00A62217" w:rsidP="00FC2FE1">
            <w:pPr>
              <w:contextualSpacing/>
            </w:pPr>
            <w:r>
              <w:rPr>
                <w:rFonts w:cs="Arial"/>
                <w:color w:val="000000"/>
                <w:szCs w:val="20"/>
              </w:rPr>
              <w:t xml:space="preserve">Rodriguez </w:t>
            </w:r>
            <w:proofErr w:type="spellStart"/>
            <w:r>
              <w:rPr>
                <w:rFonts w:cs="Arial"/>
                <w:color w:val="000000"/>
                <w:szCs w:val="20"/>
              </w:rPr>
              <w:t>Baena</w:t>
            </w:r>
            <w:proofErr w:type="spellEnd"/>
          </w:p>
        </w:tc>
        <w:tc>
          <w:tcPr>
            <w:tcW w:w="3960" w:type="dxa"/>
          </w:tcPr>
          <w:p w14:paraId="6F17A415" w14:textId="77777777" w:rsidR="00A62217" w:rsidRPr="009610A4" w:rsidDel="00E3448D" w:rsidRDefault="00A62217" w:rsidP="00FC2FE1">
            <w:pPr>
              <w:contextualSpacing/>
            </w:pPr>
            <w:r w:rsidRPr="00281FDE">
              <w:t>Airbus Defense &amp; Space - Military Aircraft</w:t>
            </w:r>
          </w:p>
        </w:tc>
        <w:tc>
          <w:tcPr>
            <w:tcW w:w="1775" w:type="dxa"/>
          </w:tcPr>
          <w:p w14:paraId="78FEBD5A" w14:textId="77777777" w:rsidR="00A62217" w:rsidRDefault="00A62217" w:rsidP="00FC2FE1">
            <w:pPr>
              <w:contextualSpacing/>
            </w:pPr>
          </w:p>
        </w:tc>
      </w:tr>
      <w:tr w:rsidR="00A62217" w:rsidRPr="009610A4" w14:paraId="76B749E2" w14:textId="77777777" w:rsidTr="0041651E">
        <w:tc>
          <w:tcPr>
            <w:tcW w:w="378" w:type="dxa"/>
          </w:tcPr>
          <w:p w14:paraId="72E4E6C9" w14:textId="77777777" w:rsidR="00A62217" w:rsidRDefault="00A62217" w:rsidP="00FC2FE1">
            <w:pPr>
              <w:contextualSpacing/>
            </w:pPr>
            <w:r w:rsidRPr="006113FD">
              <w:t>*</w:t>
            </w:r>
          </w:p>
        </w:tc>
        <w:tc>
          <w:tcPr>
            <w:tcW w:w="1555" w:type="dxa"/>
            <w:vAlign w:val="center"/>
          </w:tcPr>
          <w:p w14:paraId="5276B1F1" w14:textId="77777777" w:rsidR="00A62217" w:rsidRPr="009610A4" w:rsidDel="00E3448D" w:rsidRDefault="00A62217" w:rsidP="00FC2FE1">
            <w:pPr>
              <w:contextualSpacing/>
            </w:pPr>
            <w:r>
              <w:rPr>
                <w:rFonts w:cs="Arial"/>
                <w:color w:val="000000"/>
                <w:szCs w:val="20"/>
              </w:rPr>
              <w:t>Ester</w:t>
            </w:r>
          </w:p>
        </w:tc>
        <w:tc>
          <w:tcPr>
            <w:tcW w:w="1980" w:type="dxa"/>
            <w:vAlign w:val="center"/>
          </w:tcPr>
          <w:p w14:paraId="2E954D62" w14:textId="77777777" w:rsidR="00A62217" w:rsidRPr="009610A4" w:rsidRDefault="00A62217" w:rsidP="00FC2FE1">
            <w:pPr>
              <w:contextualSpacing/>
            </w:pPr>
            <w:r>
              <w:rPr>
                <w:rFonts w:cs="Arial"/>
                <w:color w:val="000000"/>
                <w:szCs w:val="20"/>
              </w:rPr>
              <w:t>Sala-Bosch</w:t>
            </w:r>
          </w:p>
        </w:tc>
        <w:tc>
          <w:tcPr>
            <w:tcW w:w="3960" w:type="dxa"/>
          </w:tcPr>
          <w:p w14:paraId="30C6727B" w14:textId="77777777" w:rsidR="00A62217" w:rsidRPr="009610A4" w:rsidDel="00E3448D" w:rsidRDefault="00A62217" w:rsidP="00FC2FE1">
            <w:pPr>
              <w:contextualSpacing/>
            </w:pPr>
            <w:r w:rsidRPr="00281FDE">
              <w:t>Rolls-Royce Deutschland Ltd &amp; Co KG</w:t>
            </w:r>
          </w:p>
        </w:tc>
        <w:tc>
          <w:tcPr>
            <w:tcW w:w="1775" w:type="dxa"/>
          </w:tcPr>
          <w:p w14:paraId="4822B645" w14:textId="77777777" w:rsidR="00A62217" w:rsidRDefault="00A62217" w:rsidP="00FC2FE1">
            <w:pPr>
              <w:contextualSpacing/>
            </w:pPr>
          </w:p>
        </w:tc>
      </w:tr>
      <w:tr w:rsidR="00A62217" w:rsidRPr="009610A4" w14:paraId="54238404" w14:textId="77777777" w:rsidTr="0041651E">
        <w:tc>
          <w:tcPr>
            <w:tcW w:w="378" w:type="dxa"/>
          </w:tcPr>
          <w:p w14:paraId="709A549E" w14:textId="77777777" w:rsidR="00A62217" w:rsidRDefault="00A62217" w:rsidP="00FC2FE1">
            <w:pPr>
              <w:contextualSpacing/>
            </w:pPr>
            <w:r>
              <w:t>*</w:t>
            </w:r>
          </w:p>
        </w:tc>
        <w:tc>
          <w:tcPr>
            <w:tcW w:w="1555" w:type="dxa"/>
            <w:vAlign w:val="center"/>
          </w:tcPr>
          <w:p w14:paraId="6BAD126E" w14:textId="77777777" w:rsidR="00A62217" w:rsidRPr="009610A4" w:rsidDel="00E3448D" w:rsidRDefault="00A62217" w:rsidP="00FC2FE1">
            <w:pPr>
              <w:contextualSpacing/>
            </w:pPr>
            <w:r>
              <w:rPr>
                <w:rFonts w:cs="Arial"/>
                <w:color w:val="000000"/>
                <w:szCs w:val="20"/>
              </w:rPr>
              <w:t>Paul</w:t>
            </w:r>
          </w:p>
        </w:tc>
        <w:tc>
          <w:tcPr>
            <w:tcW w:w="1980" w:type="dxa"/>
            <w:vAlign w:val="center"/>
          </w:tcPr>
          <w:p w14:paraId="69A8E87D" w14:textId="77777777" w:rsidR="00A62217" w:rsidRPr="009610A4" w:rsidRDefault="00A62217" w:rsidP="00FC2FE1">
            <w:pPr>
              <w:contextualSpacing/>
            </w:pPr>
            <w:r>
              <w:rPr>
                <w:rFonts w:cs="Arial"/>
                <w:color w:val="000000"/>
                <w:szCs w:val="20"/>
              </w:rPr>
              <w:t>Slater</w:t>
            </w:r>
          </w:p>
        </w:tc>
        <w:tc>
          <w:tcPr>
            <w:tcW w:w="3960" w:type="dxa"/>
          </w:tcPr>
          <w:p w14:paraId="0FEBFE39" w14:textId="77777777" w:rsidR="00A62217" w:rsidRPr="009610A4" w:rsidDel="00E3448D" w:rsidRDefault="00A62217" w:rsidP="00FC2FE1">
            <w:pPr>
              <w:contextualSpacing/>
            </w:pPr>
            <w:r w:rsidRPr="00281FDE">
              <w:t>Rockwell Collins</w:t>
            </w:r>
          </w:p>
        </w:tc>
        <w:tc>
          <w:tcPr>
            <w:tcW w:w="1775" w:type="dxa"/>
          </w:tcPr>
          <w:p w14:paraId="6B847904" w14:textId="77777777" w:rsidR="00A62217" w:rsidRDefault="00A62217" w:rsidP="00FC2FE1">
            <w:pPr>
              <w:contextualSpacing/>
            </w:pPr>
          </w:p>
        </w:tc>
      </w:tr>
      <w:tr w:rsidR="00A62217" w:rsidRPr="009610A4" w14:paraId="476023A0" w14:textId="77777777" w:rsidTr="0041651E">
        <w:tc>
          <w:tcPr>
            <w:tcW w:w="378" w:type="dxa"/>
          </w:tcPr>
          <w:p w14:paraId="718C6724" w14:textId="77777777" w:rsidR="00A62217" w:rsidRDefault="00A62217" w:rsidP="00FC2FE1">
            <w:pPr>
              <w:contextualSpacing/>
            </w:pPr>
          </w:p>
        </w:tc>
        <w:tc>
          <w:tcPr>
            <w:tcW w:w="1555" w:type="dxa"/>
            <w:vAlign w:val="center"/>
          </w:tcPr>
          <w:p w14:paraId="325DBA2E" w14:textId="77777777" w:rsidR="00A62217" w:rsidRPr="009610A4" w:rsidDel="00E3448D" w:rsidRDefault="00A62217" w:rsidP="00FC2FE1">
            <w:pPr>
              <w:contextualSpacing/>
            </w:pPr>
            <w:r>
              <w:rPr>
                <w:rFonts w:cs="Arial"/>
                <w:color w:val="000000"/>
                <w:szCs w:val="20"/>
              </w:rPr>
              <w:t>Russell</w:t>
            </w:r>
          </w:p>
        </w:tc>
        <w:tc>
          <w:tcPr>
            <w:tcW w:w="1980" w:type="dxa"/>
            <w:vAlign w:val="center"/>
          </w:tcPr>
          <w:p w14:paraId="50BC31FB" w14:textId="77777777" w:rsidR="00A62217" w:rsidRPr="009610A4" w:rsidRDefault="00A62217" w:rsidP="00FC2FE1">
            <w:pPr>
              <w:contextualSpacing/>
            </w:pPr>
            <w:r>
              <w:rPr>
                <w:rFonts w:cs="Arial"/>
                <w:color w:val="000000"/>
                <w:szCs w:val="20"/>
              </w:rPr>
              <w:t>Spivey</w:t>
            </w:r>
          </w:p>
        </w:tc>
        <w:tc>
          <w:tcPr>
            <w:tcW w:w="3960" w:type="dxa"/>
          </w:tcPr>
          <w:p w14:paraId="5ED637A8" w14:textId="77777777" w:rsidR="00A62217" w:rsidRPr="009610A4" w:rsidDel="00E3448D" w:rsidRDefault="00A62217" w:rsidP="00FC2FE1">
            <w:pPr>
              <w:contextualSpacing/>
            </w:pPr>
            <w:r w:rsidRPr="00281FDE">
              <w:t>Rolls-Royce Control Services</w:t>
            </w:r>
          </w:p>
        </w:tc>
        <w:tc>
          <w:tcPr>
            <w:tcW w:w="1775" w:type="dxa"/>
          </w:tcPr>
          <w:p w14:paraId="5B222130" w14:textId="77777777" w:rsidR="00A62217" w:rsidRDefault="00A62217" w:rsidP="00FC2FE1">
            <w:pPr>
              <w:contextualSpacing/>
            </w:pPr>
          </w:p>
        </w:tc>
      </w:tr>
      <w:tr w:rsidR="00A62217" w:rsidRPr="009610A4" w14:paraId="08667F8F" w14:textId="77777777" w:rsidTr="0041651E">
        <w:tc>
          <w:tcPr>
            <w:tcW w:w="378" w:type="dxa"/>
          </w:tcPr>
          <w:p w14:paraId="4E438E43" w14:textId="77777777" w:rsidR="00A62217" w:rsidRDefault="00A62217" w:rsidP="00FC2FE1">
            <w:pPr>
              <w:contextualSpacing/>
            </w:pPr>
            <w:r>
              <w:t>*</w:t>
            </w:r>
          </w:p>
        </w:tc>
        <w:tc>
          <w:tcPr>
            <w:tcW w:w="1555" w:type="dxa"/>
            <w:vAlign w:val="center"/>
          </w:tcPr>
          <w:p w14:paraId="10B571B7" w14:textId="77777777" w:rsidR="00A62217" w:rsidRPr="009610A4" w:rsidDel="00E3448D" w:rsidRDefault="00A62217" w:rsidP="00FC2FE1">
            <w:pPr>
              <w:contextualSpacing/>
            </w:pPr>
            <w:proofErr w:type="spellStart"/>
            <w:r>
              <w:rPr>
                <w:rFonts w:cs="Arial"/>
                <w:color w:val="000000"/>
                <w:szCs w:val="20"/>
              </w:rPr>
              <w:t>Ranganathan</w:t>
            </w:r>
            <w:proofErr w:type="spellEnd"/>
          </w:p>
        </w:tc>
        <w:tc>
          <w:tcPr>
            <w:tcW w:w="1980" w:type="dxa"/>
            <w:vAlign w:val="center"/>
          </w:tcPr>
          <w:p w14:paraId="1BD83700" w14:textId="77777777" w:rsidR="00A62217" w:rsidRPr="009610A4" w:rsidRDefault="00A62217" w:rsidP="00FC2FE1">
            <w:pPr>
              <w:contextualSpacing/>
            </w:pPr>
            <w:r>
              <w:rPr>
                <w:rFonts w:cs="Arial"/>
                <w:color w:val="000000"/>
                <w:szCs w:val="20"/>
              </w:rPr>
              <w:t>Srinivasan</w:t>
            </w:r>
          </w:p>
        </w:tc>
        <w:tc>
          <w:tcPr>
            <w:tcW w:w="3960" w:type="dxa"/>
          </w:tcPr>
          <w:p w14:paraId="50C2B358" w14:textId="77777777" w:rsidR="00A62217" w:rsidRPr="009610A4" w:rsidDel="00E3448D" w:rsidRDefault="00A62217" w:rsidP="00FC2FE1">
            <w:pPr>
              <w:contextualSpacing/>
            </w:pPr>
            <w:r w:rsidRPr="00281FDE">
              <w:t>ST Aerospace Ltd</w:t>
            </w:r>
            <w:r>
              <w:t>.</w:t>
            </w:r>
          </w:p>
        </w:tc>
        <w:tc>
          <w:tcPr>
            <w:tcW w:w="1775" w:type="dxa"/>
          </w:tcPr>
          <w:p w14:paraId="58672796" w14:textId="77777777" w:rsidR="00A62217" w:rsidRDefault="00A62217" w:rsidP="00FC2FE1">
            <w:pPr>
              <w:contextualSpacing/>
            </w:pPr>
          </w:p>
        </w:tc>
      </w:tr>
      <w:tr w:rsidR="00A62217" w:rsidRPr="009610A4" w14:paraId="19B1C803" w14:textId="77777777" w:rsidTr="00C86C9F">
        <w:tc>
          <w:tcPr>
            <w:tcW w:w="378" w:type="dxa"/>
          </w:tcPr>
          <w:p w14:paraId="5F385129" w14:textId="77777777" w:rsidR="00A62217" w:rsidRDefault="00A62217" w:rsidP="00294DEA">
            <w:pPr>
              <w:contextualSpacing/>
            </w:pPr>
            <w:r w:rsidRPr="00127FEA">
              <w:t>*</w:t>
            </w:r>
          </w:p>
        </w:tc>
        <w:tc>
          <w:tcPr>
            <w:tcW w:w="1555" w:type="dxa"/>
          </w:tcPr>
          <w:p w14:paraId="0E8E854A" w14:textId="77777777" w:rsidR="00A62217" w:rsidRPr="009610A4" w:rsidDel="00E3448D" w:rsidRDefault="00A62217" w:rsidP="00294DEA">
            <w:pPr>
              <w:contextualSpacing/>
            </w:pPr>
            <w:proofErr w:type="spellStart"/>
            <w:r w:rsidRPr="00127FEA">
              <w:t>Mariusz</w:t>
            </w:r>
            <w:proofErr w:type="spellEnd"/>
          </w:p>
        </w:tc>
        <w:tc>
          <w:tcPr>
            <w:tcW w:w="1980" w:type="dxa"/>
          </w:tcPr>
          <w:p w14:paraId="0C9C10DF" w14:textId="77777777" w:rsidR="00A62217" w:rsidRPr="009610A4" w:rsidRDefault="00A62217" w:rsidP="00294DEA">
            <w:pPr>
              <w:contextualSpacing/>
            </w:pPr>
            <w:r w:rsidRPr="00127FEA">
              <w:t>Stanczyk</w:t>
            </w:r>
          </w:p>
        </w:tc>
        <w:tc>
          <w:tcPr>
            <w:tcW w:w="3960" w:type="dxa"/>
          </w:tcPr>
          <w:p w14:paraId="5A3FFC33" w14:textId="77777777" w:rsidR="00A62217" w:rsidRPr="009610A4" w:rsidDel="00E3448D" w:rsidRDefault="00A62217" w:rsidP="00294DEA">
            <w:pPr>
              <w:contextualSpacing/>
            </w:pPr>
            <w:r w:rsidRPr="00127FEA">
              <w:t>Lockheed Martin Aero</w:t>
            </w:r>
          </w:p>
        </w:tc>
        <w:tc>
          <w:tcPr>
            <w:tcW w:w="1775" w:type="dxa"/>
          </w:tcPr>
          <w:p w14:paraId="63BB0B6A" w14:textId="77777777" w:rsidR="00A62217" w:rsidRDefault="00A62217" w:rsidP="00294DEA">
            <w:pPr>
              <w:contextualSpacing/>
            </w:pPr>
          </w:p>
        </w:tc>
      </w:tr>
      <w:tr w:rsidR="00A62217" w:rsidRPr="009610A4" w14:paraId="18567E1E" w14:textId="77777777" w:rsidTr="0041651E">
        <w:tc>
          <w:tcPr>
            <w:tcW w:w="378" w:type="dxa"/>
          </w:tcPr>
          <w:p w14:paraId="5452E126" w14:textId="77777777" w:rsidR="00A62217" w:rsidRDefault="00A62217" w:rsidP="00FC2FE1">
            <w:pPr>
              <w:contextualSpacing/>
            </w:pPr>
            <w:r w:rsidRPr="00E052AE">
              <w:t>*</w:t>
            </w:r>
          </w:p>
        </w:tc>
        <w:tc>
          <w:tcPr>
            <w:tcW w:w="1555" w:type="dxa"/>
            <w:vAlign w:val="center"/>
          </w:tcPr>
          <w:p w14:paraId="0A944247" w14:textId="77777777" w:rsidR="00A62217" w:rsidRPr="009610A4" w:rsidDel="00E3448D" w:rsidRDefault="00A62217" w:rsidP="00FC2FE1">
            <w:pPr>
              <w:contextualSpacing/>
            </w:pPr>
            <w:r>
              <w:rPr>
                <w:rFonts w:cs="Arial"/>
                <w:color w:val="000000"/>
                <w:szCs w:val="20"/>
              </w:rPr>
              <w:t>Steven</w:t>
            </w:r>
          </w:p>
        </w:tc>
        <w:tc>
          <w:tcPr>
            <w:tcW w:w="1980" w:type="dxa"/>
            <w:vAlign w:val="center"/>
          </w:tcPr>
          <w:p w14:paraId="74BF5E9A" w14:textId="77777777" w:rsidR="00A62217" w:rsidRPr="009610A4" w:rsidRDefault="00A62217" w:rsidP="00FC2FE1">
            <w:pPr>
              <w:contextualSpacing/>
            </w:pPr>
            <w:r>
              <w:rPr>
                <w:rFonts w:cs="Arial"/>
                <w:color w:val="000000"/>
                <w:szCs w:val="20"/>
              </w:rPr>
              <w:t>Starr</w:t>
            </w:r>
          </w:p>
        </w:tc>
        <w:tc>
          <w:tcPr>
            <w:tcW w:w="3960" w:type="dxa"/>
          </w:tcPr>
          <w:p w14:paraId="6C9D3EB7" w14:textId="77777777" w:rsidR="00A62217" w:rsidRPr="009610A4" w:rsidDel="00E3448D" w:rsidRDefault="00A62217" w:rsidP="00FC2FE1">
            <w:pPr>
              <w:contextualSpacing/>
            </w:pPr>
            <w:r w:rsidRPr="00281FDE">
              <w:t>Honeywell Aerospace</w:t>
            </w:r>
          </w:p>
        </w:tc>
        <w:tc>
          <w:tcPr>
            <w:tcW w:w="1775" w:type="dxa"/>
          </w:tcPr>
          <w:p w14:paraId="677BED96" w14:textId="77777777" w:rsidR="00A62217" w:rsidRDefault="00A62217" w:rsidP="00FC2FE1">
            <w:pPr>
              <w:contextualSpacing/>
            </w:pPr>
          </w:p>
        </w:tc>
      </w:tr>
      <w:tr w:rsidR="00A62217" w:rsidRPr="009610A4" w14:paraId="0069E826" w14:textId="77777777" w:rsidTr="00C86C9F">
        <w:tc>
          <w:tcPr>
            <w:tcW w:w="378" w:type="dxa"/>
          </w:tcPr>
          <w:p w14:paraId="49310A95" w14:textId="77777777" w:rsidR="00A62217" w:rsidRDefault="00A62217" w:rsidP="00FC2FE1">
            <w:pPr>
              <w:contextualSpacing/>
            </w:pPr>
            <w:r w:rsidRPr="00E052AE">
              <w:t>*</w:t>
            </w:r>
          </w:p>
        </w:tc>
        <w:tc>
          <w:tcPr>
            <w:tcW w:w="1555" w:type="dxa"/>
          </w:tcPr>
          <w:p w14:paraId="796FCD1E" w14:textId="77777777" w:rsidR="00A62217" w:rsidRPr="009610A4" w:rsidDel="00E3448D" w:rsidRDefault="00A62217" w:rsidP="00FC2FE1">
            <w:pPr>
              <w:contextualSpacing/>
            </w:pPr>
            <w:r w:rsidRPr="00036DDF">
              <w:t>Zia</w:t>
            </w:r>
          </w:p>
        </w:tc>
        <w:tc>
          <w:tcPr>
            <w:tcW w:w="1980" w:type="dxa"/>
          </w:tcPr>
          <w:p w14:paraId="511CF3AE" w14:textId="77777777" w:rsidR="00A62217" w:rsidRPr="009610A4" w:rsidRDefault="00A62217" w:rsidP="00FC2FE1">
            <w:pPr>
              <w:contextualSpacing/>
            </w:pPr>
            <w:r w:rsidRPr="00036DDF">
              <w:t>Usmani</w:t>
            </w:r>
          </w:p>
        </w:tc>
        <w:tc>
          <w:tcPr>
            <w:tcW w:w="3960" w:type="dxa"/>
          </w:tcPr>
          <w:p w14:paraId="5EBD36BF" w14:textId="77777777" w:rsidR="00A62217" w:rsidRPr="009610A4" w:rsidDel="00E3448D" w:rsidRDefault="00A62217" w:rsidP="00FC2FE1">
            <w:pPr>
              <w:contextualSpacing/>
            </w:pPr>
            <w:r w:rsidRPr="00281FDE">
              <w:t>BAE Systems UK (MAI)</w:t>
            </w:r>
          </w:p>
        </w:tc>
        <w:tc>
          <w:tcPr>
            <w:tcW w:w="1775" w:type="dxa"/>
          </w:tcPr>
          <w:p w14:paraId="1BEA23BE" w14:textId="77777777" w:rsidR="00A62217" w:rsidRDefault="00A62217" w:rsidP="00FC2FE1">
            <w:pPr>
              <w:contextualSpacing/>
            </w:pPr>
          </w:p>
        </w:tc>
      </w:tr>
      <w:tr w:rsidR="00A62217" w:rsidRPr="009610A4" w14:paraId="3C114075" w14:textId="77777777" w:rsidTr="00C86C9F">
        <w:tc>
          <w:tcPr>
            <w:tcW w:w="378" w:type="dxa"/>
          </w:tcPr>
          <w:p w14:paraId="79FBAF27" w14:textId="77777777" w:rsidR="00A62217" w:rsidRDefault="00A62217" w:rsidP="00FC2FE1">
            <w:pPr>
              <w:contextualSpacing/>
            </w:pPr>
            <w:r w:rsidRPr="00DB6EB2">
              <w:t>*</w:t>
            </w:r>
          </w:p>
        </w:tc>
        <w:tc>
          <w:tcPr>
            <w:tcW w:w="1555" w:type="dxa"/>
          </w:tcPr>
          <w:p w14:paraId="477B5199" w14:textId="77777777" w:rsidR="00A62217" w:rsidRPr="009610A4" w:rsidDel="00E3448D" w:rsidRDefault="00A62217" w:rsidP="00FC2FE1">
            <w:pPr>
              <w:contextualSpacing/>
            </w:pPr>
            <w:r w:rsidRPr="00036DDF">
              <w:t>Shawn</w:t>
            </w:r>
          </w:p>
        </w:tc>
        <w:tc>
          <w:tcPr>
            <w:tcW w:w="1980" w:type="dxa"/>
          </w:tcPr>
          <w:p w14:paraId="60F62822" w14:textId="77777777" w:rsidR="00A62217" w:rsidRPr="009610A4" w:rsidRDefault="00A62217" w:rsidP="00FC2FE1">
            <w:pPr>
              <w:contextualSpacing/>
            </w:pPr>
            <w:r w:rsidRPr="00036DDF">
              <w:t>Vierthaler</w:t>
            </w:r>
          </w:p>
        </w:tc>
        <w:tc>
          <w:tcPr>
            <w:tcW w:w="3960" w:type="dxa"/>
          </w:tcPr>
          <w:p w14:paraId="5E6E7A1D" w14:textId="77777777" w:rsidR="00A62217" w:rsidRPr="009610A4" w:rsidDel="00E3448D" w:rsidRDefault="00A62217" w:rsidP="00FC2FE1">
            <w:pPr>
              <w:contextualSpacing/>
            </w:pPr>
            <w:r w:rsidRPr="00281FDE">
              <w:t xml:space="preserve">Spirit </w:t>
            </w:r>
            <w:proofErr w:type="spellStart"/>
            <w:r w:rsidRPr="00281FDE">
              <w:t>AeroSystems</w:t>
            </w:r>
            <w:proofErr w:type="spellEnd"/>
          </w:p>
        </w:tc>
        <w:tc>
          <w:tcPr>
            <w:tcW w:w="1775" w:type="dxa"/>
          </w:tcPr>
          <w:p w14:paraId="4F4F9B9A" w14:textId="77777777" w:rsidR="00A62217" w:rsidRDefault="00A62217" w:rsidP="00FC2FE1">
            <w:pPr>
              <w:contextualSpacing/>
            </w:pPr>
          </w:p>
        </w:tc>
      </w:tr>
      <w:tr w:rsidR="00A62217" w:rsidRPr="009610A4" w14:paraId="60E3AFD9" w14:textId="77777777" w:rsidTr="00C86C9F">
        <w:tc>
          <w:tcPr>
            <w:tcW w:w="378" w:type="dxa"/>
          </w:tcPr>
          <w:p w14:paraId="7CE2965A" w14:textId="77777777" w:rsidR="00A62217" w:rsidRDefault="00A62217" w:rsidP="00FC2FE1">
            <w:pPr>
              <w:contextualSpacing/>
            </w:pPr>
            <w:r w:rsidRPr="00DB6EB2">
              <w:t>*</w:t>
            </w:r>
          </w:p>
        </w:tc>
        <w:tc>
          <w:tcPr>
            <w:tcW w:w="1555" w:type="dxa"/>
          </w:tcPr>
          <w:p w14:paraId="1BAEF056" w14:textId="77777777" w:rsidR="00A62217" w:rsidRPr="009610A4" w:rsidDel="00E3448D" w:rsidRDefault="00A62217" w:rsidP="00FC2FE1">
            <w:pPr>
              <w:contextualSpacing/>
            </w:pPr>
            <w:r w:rsidRPr="00036DDF">
              <w:t>Michael</w:t>
            </w:r>
          </w:p>
        </w:tc>
        <w:tc>
          <w:tcPr>
            <w:tcW w:w="1980" w:type="dxa"/>
          </w:tcPr>
          <w:p w14:paraId="2146CD9D" w14:textId="77777777" w:rsidR="00A62217" w:rsidRPr="009610A4" w:rsidRDefault="00A62217" w:rsidP="00FC2FE1">
            <w:pPr>
              <w:contextualSpacing/>
            </w:pPr>
            <w:r w:rsidRPr="00036DDF">
              <w:t>Vosatka</w:t>
            </w:r>
          </w:p>
        </w:tc>
        <w:tc>
          <w:tcPr>
            <w:tcW w:w="3960" w:type="dxa"/>
          </w:tcPr>
          <w:p w14:paraId="344AC69E" w14:textId="77777777" w:rsidR="00A62217" w:rsidRPr="009610A4" w:rsidDel="00E3448D" w:rsidRDefault="00A62217" w:rsidP="00FC2FE1">
            <w:pPr>
              <w:contextualSpacing/>
            </w:pPr>
            <w:r w:rsidRPr="00281FDE">
              <w:t>Rockwell Collins</w:t>
            </w:r>
          </w:p>
        </w:tc>
        <w:tc>
          <w:tcPr>
            <w:tcW w:w="1775" w:type="dxa"/>
          </w:tcPr>
          <w:p w14:paraId="33B27949" w14:textId="77777777" w:rsidR="00A62217" w:rsidRDefault="00A62217" w:rsidP="00FC2FE1">
            <w:pPr>
              <w:contextualSpacing/>
            </w:pPr>
          </w:p>
        </w:tc>
      </w:tr>
      <w:tr w:rsidR="00A62217" w:rsidRPr="009610A4" w14:paraId="50D68226" w14:textId="77777777" w:rsidTr="00C86C9F">
        <w:tc>
          <w:tcPr>
            <w:tcW w:w="378" w:type="dxa"/>
          </w:tcPr>
          <w:p w14:paraId="19DDF8DE" w14:textId="77777777" w:rsidR="00A62217" w:rsidRDefault="00A62217" w:rsidP="00FC2FE1">
            <w:pPr>
              <w:contextualSpacing/>
            </w:pPr>
            <w:r w:rsidRPr="00DB6EB2">
              <w:t>*</w:t>
            </w:r>
          </w:p>
        </w:tc>
        <w:tc>
          <w:tcPr>
            <w:tcW w:w="1555" w:type="dxa"/>
          </w:tcPr>
          <w:p w14:paraId="73A118BD" w14:textId="77777777" w:rsidR="00A62217" w:rsidRPr="009610A4" w:rsidDel="00E3448D" w:rsidRDefault="00A62217" w:rsidP="00FC2FE1">
            <w:pPr>
              <w:contextualSpacing/>
            </w:pPr>
            <w:r w:rsidRPr="00036DDF">
              <w:t>Gene</w:t>
            </w:r>
          </w:p>
        </w:tc>
        <w:tc>
          <w:tcPr>
            <w:tcW w:w="1980" w:type="dxa"/>
          </w:tcPr>
          <w:p w14:paraId="063EFE6E" w14:textId="77777777" w:rsidR="00A62217" w:rsidRPr="009610A4" w:rsidRDefault="00A62217" w:rsidP="00FC2FE1">
            <w:pPr>
              <w:contextualSpacing/>
            </w:pPr>
            <w:r w:rsidRPr="00036DDF">
              <w:t>Wallace</w:t>
            </w:r>
          </w:p>
        </w:tc>
        <w:tc>
          <w:tcPr>
            <w:tcW w:w="3960" w:type="dxa"/>
          </w:tcPr>
          <w:p w14:paraId="39B36780" w14:textId="77777777" w:rsidR="00A62217" w:rsidRPr="009610A4" w:rsidDel="00E3448D" w:rsidRDefault="00A62217" w:rsidP="00FC2FE1">
            <w:pPr>
              <w:contextualSpacing/>
            </w:pPr>
            <w:r w:rsidRPr="00281FDE">
              <w:t>Triumph Group</w:t>
            </w:r>
          </w:p>
        </w:tc>
        <w:tc>
          <w:tcPr>
            <w:tcW w:w="1775" w:type="dxa"/>
          </w:tcPr>
          <w:p w14:paraId="3296736A" w14:textId="77777777" w:rsidR="00A62217" w:rsidRDefault="00A62217" w:rsidP="00FC2FE1">
            <w:pPr>
              <w:contextualSpacing/>
            </w:pPr>
          </w:p>
        </w:tc>
      </w:tr>
      <w:tr w:rsidR="00A62217" w:rsidRPr="009610A4" w14:paraId="536F299D" w14:textId="77777777" w:rsidTr="00C86C9F">
        <w:tc>
          <w:tcPr>
            <w:tcW w:w="378" w:type="dxa"/>
          </w:tcPr>
          <w:p w14:paraId="504BC113" w14:textId="77777777" w:rsidR="00A62217" w:rsidRDefault="00A62217" w:rsidP="00FC2FE1">
            <w:pPr>
              <w:contextualSpacing/>
            </w:pPr>
            <w:r w:rsidRPr="00DB6EB2">
              <w:t>*</w:t>
            </w:r>
          </w:p>
        </w:tc>
        <w:tc>
          <w:tcPr>
            <w:tcW w:w="1555" w:type="dxa"/>
          </w:tcPr>
          <w:p w14:paraId="053AC482" w14:textId="77777777" w:rsidR="00A62217" w:rsidRPr="009610A4" w:rsidDel="00E3448D" w:rsidRDefault="00A62217" w:rsidP="00FC2FE1">
            <w:pPr>
              <w:contextualSpacing/>
            </w:pPr>
            <w:r w:rsidRPr="00036DDF">
              <w:t>Sergey</w:t>
            </w:r>
          </w:p>
        </w:tc>
        <w:tc>
          <w:tcPr>
            <w:tcW w:w="1980" w:type="dxa"/>
          </w:tcPr>
          <w:p w14:paraId="3A915118" w14:textId="77777777" w:rsidR="00A62217" w:rsidRPr="009610A4" w:rsidRDefault="00A62217" w:rsidP="00FC2FE1">
            <w:pPr>
              <w:contextualSpacing/>
            </w:pPr>
            <w:proofErr w:type="spellStart"/>
            <w:r w:rsidRPr="00036DDF">
              <w:t>Yesilevich</w:t>
            </w:r>
            <w:proofErr w:type="spellEnd"/>
          </w:p>
        </w:tc>
        <w:tc>
          <w:tcPr>
            <w:tcW w:w="3960" w:type="dxa"/>
          </w:tcPr>
          <w:p w14:paraId="73E0E374" w14:textId="77777777" w:rsidR="00A62217" w:rsidRPr="009610A4" w:rsidDel="00E3448D" w:rsidRDefault="00A62217" w:rsidP="00FC2FE1">
            <w:pPr>
              <w:contextualSpacing/>
            </w:pPr>
            <w:r w:rsidRPr="00281FDE">
              <w:t>UTC Aerospace (Hamilton Sundstrand)</w:t>
            </w:r>
          </w:p>
        </w:tc>
        <w:tc>
          <w:tcPr>
            <w:tcW w:w="1775" w:type="dxa"/>
          </w:tcPr>
          <w:p w14:paraId="1582BBE6" w14:textId="77777777" w:rsidR="00A62217" w:rsidRDefault="00A62217" w:rsidP="00FC2FE1">
            <w:pPr>
              <w:contextualSpacing/>
            </w:pPr>
          </w:p>
        </w:tc>
      </w:tr>
    </w:tbl>
    <w:p w14:paraId="7286D6BA" w14:textId="77777777" w:rsidR="009610A4" w:rsidRPr="009610A4" w:rsidRDefault="009610A4" w:rsidP="009610A4">
      <w:pPr>
        <w:keepNext/>
        <w:spacing w:before="200"/>
        <w:ind w:left="709"/>
        <w:rPr>
          <w:b/>
          <w:i/>
          <w:u w:val="single"/>
        </w:rPr>
      </w:pPr>
      <w:r w:rsidRPr="009610A4">
        <w:rPr>
          <w:b/>
          <w:i/>
          <w:u w:val="single"/>
        </w:rPr>
        <w:t>Other Members/Participants Present (* Indicates Voting Member)</w:t>
      </w:r>
    </w:p>
    <w:tbl>
      <w:tblPr>
        <w:tblStyle w:val="TableGrid"/>
        <w:tblW w:w="964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793"/>
        <w:gridCol w:w="1825"/>
        <w:gridCol w:w="3960"/>
        <w:gridCol w:w="1775"/>
      </w:tblGrid>
      <w:tr w:rsidR="00C86C9F" w:rsidRPr="009610A4" w:rsidDel="00E3448D" w14:paraId="7286D6C0" w14:textId="77777777" w:rsidTr="00C86C9F">
        <w:tc>
          <w:tcPr>
            <w:tcW w:w="295" w:type="dxa"/>
          </w:tcPr>
          <w:p w14:paraId="7286D6BB" w14:textId="77777777" w:rsidR="00C86C9F" w:rsidRPr="009610A4" w:rsidDel="00E3448D" w:rsidRDefault="00C86C9F" w:rsidP="00C86C9F">
            <w:pPr>
              <w:contextualSpacing/>
            </w:pPr>
          </w:p>
        </w:tc>
        <w:tc>
          <w:tcPr>
            <w:tcW w:w="1793" w:type="dxa"/>
          </w:tcPr>
          <w:p w14:paraId="7286D6BC" w14:textId="77777777" w:rsidR="00C86C9F" w:rsidRPr="009610A4" w:rsidDel="00E3448D" w:rsidRDefault="00C86C9F" w:rsidP="00C86C9F">
            <w:pPr>
              <w:contextualSpacing/>
            </w:pPr>
            <w:r w:rsidRPr="009610A4" w:rsidDel="00E3448D">
              <w:t>NAME</w:t>
            </w:r>
          </w:p>
        </w:tc>
        <w:tc>
          <w:tcPr>
            <w:tcW w:w="1825" w:type="dxa"/>
          </w:tcPr>
          <w:p w14:paraId="7286D6BD" w14:textId="77777777" w:rsidR="00C86C9F" w:rsidRPr="009610A4" w:rsidDel="00E3448D" w:rsidRDefault="00C86C9F" w:rsidP="00C86C9F">
            <w:pPr>
              <w:contextualSpacing/>
            </w:pPr>
          </w:p>
        </w:tc>
        <w:tc>
          <w:tcPr>
            <w:tcW w:w="3960" w:type="dxa"/>
          </w:tcPr>
          <w:p w14:paraId="7286D6BE" w14:textId="77777777" w:rsidR="00C86C9F" w:rsidRPr="009610A4" w:rsidDel="00E3448D" w:rsidRDefault="00C86C9F" w:rsidP="00C86C9F">
            <w:pPr>
              <w:contextualSpacing/>
            </w:pPr>
            <w:r w:rsidRPr="009610A4" w:rsidDel="00E3448D">
              <w:t>COMPANY NAME</w:t>
            </w:r>
          </w:p>
        </w:tc>
        <w:tc>
          <w:tcPr>
            <w:tcW w:w="1775" w:type="dxa"/>
          </w:tcPr>
          <w:p w14:paraId="7286D6BF" w14:textId="77777777" w:rsidR="00C86C9F" w:rsidRPr="009610A4" w:rsidDel="00E3448D" w:rsidRDefault="00C86C9F" w:rsidP="00C86C9F">
            <w:pPr>
              <w:contextualSpacing/>
            </w:pPr>
          </w:p>
        </w:tc>
      </w:tr>
      <w:tr w:rsidR="00C86C9F" w:rsidRPr="009610A4" w:rsidDel="00E3448D" w14:paraId="7286D6C6" w14:textId="77777777" w:rsidTr="00C86C9F">
        <w:tc>
          <w:tcPr>
            <w:tcW w:w="295" w:type="dxa"/>
          </w:tcPr>
          <w:p w14:paraId="7286D6C1" w14:textId="77777777" w:rsidR="00C86C9F" w:rsidRPr="009610A4" w:rsidDel="00E3448D" w:rsidRDefault="00C86C9F" w:rsidP="009610A4">
            <w:pPr>
              <w:contextualSpacing/>
            </w:pPr>
          </w:p>
        </w:tc>
        <w:tc>
          <w:tcPr>
            <w:tcW w:w="1793" w:type="dxa"/>
          </w:tcPr>
          <w:p w14:paraId="7286D6C2" w14:textId="77777777" w:rsidR="00C86C9F" w:rsidRPr="009610A4" w:rsidDel="00E3448D" w:rsidRDefault="00C86C9F" w:rsidP="009610A4">
            <w:pPr>
              <w:contextualSpacing/>
            </w:pPr>
          </w:p>
        </w:tc>
        <w:tc>
          <w:tcPr>
            <w:tcW w:w="1825" w:type="dxa"/>
          </w:tcPr>
          <w:p w14:paraId="7286D6C3" w14:textId="77777777" w:rsidR="00C86C9F" w:rsidRPr="009610A4" w:rsidDel="00E3448D" w:rsidRDefault="00C86C9F" w:rsidP="009610A4">
            <w:pPr>
              <w:contextualSpacing/>
            </w:pPr>
          </w:p>
        </w:tc>
        <w:tc>
          <w:tcPr>
            <w:tcW w:w="3960" w:type="dxa"/>
          </w:tcPr>
          <w:p w14:paraId="7286D6C4" w14:textId="77777777" w:rsidR="00C86C9F" w:rsidRPr="009610A4" w:rsidDel="00E3448D" w:rsidRDefault="00C86C9F" w:rsidP="009610A4">
            <w:pPr>
              <w:contextualSpacing/>
            </w:pPr>
          </w:p>
        </w:tc>
        <w:tc>
          <w:tcPr>
            <w:tcW w:w="1775" w:type="dxa"/>
          </w:tcPr>
          <w:p w14:paraId="7286D6C5" w14:textId="77777777" w:rsidR="00C86C9F" w:rsidRPr="009610A4" w:rsidDel="00E3448D" w:rsidRDefault="00C86C9F" w:rsidP="009610A4">
            <w:pPr>
              <w:contextualSpacing/>
            </w:pPr>
          </w:p>
        </w:tc>
      </w:tr>
      <w:tr w:rsidR="00A62217" w:rsidRPr="009610A4" w:rsidDel="00E3448D" w14:paraId="1D811C78" w14:textId="77777777" w:rsidTr="0041651E">
        <w:tc>
          <w:tcPr>
            <w:tcW w:w="295" w:type="dxa"/>
          </w:tcPr>
          <w:p w14:paraId="58867CFE" w14:textId="77777777" w:rsidR="00A62217" w:rsidRPr="009610A4" w:rsidDel="00E3448D" w:rsidRDefault="00A62217" w:rsidP="00A57AED">
            <w:pPr>
              <w:contextualSpacing/>
            </w:pPr>
            <w:r>
              <w:t>*</w:t>
            </w:r>
          </w:p>
        </w:tc>
        <w:tc>
          <w:tcPr>
            <w:tcW w:w="1793" w:type="dxa"/>
            <w:vAlign w:val="center"/>
          </w:tcPr>
          <w:p w14:paraId="3A75FB35" w14:textId="77777777" w:rsidR="00A62217" w:rsidRPr="009610A4" w:rsidDel="00E3448D" w:rsidRDefault="00A62217" w:rsidP="00A57AED">
            <w:pPr>
              <w:contextualSpacing/>
            </w:pPr>
            <w:r>
              <w:rPr>
                <w:rFonts w:cs="Arial"/>
                <w:color w:val="000000"/>
                <w:szCs w:val="20"/>
              </w:rPr>
              <w:t>Mark</w:t>
            </w:r>
          </w:p>
        </w:tc>
        <w:tc>
          <w:tcPr>
            <w:tcW w:w="1825" w:type="dxa"/>
            <w:vAlign w:val="center"/>
          </w:tcPr>
          <w:p w14:paraId="5B32FF69" w14:textId="77777777" w:rsidR="00A62217" w:rsidRPr="009610A4" w:rsidDel="00E3448D" w:rsidRDefault="00A62217" w:rsidP="00A57AED">
            <w:pPr>
              <w:contextualSpacing/>
            </w:pPr>
            <w:r>
              <w:rPr>
                <w:rFonts w:cs="Arial"/>
                <w:color w:val="000000"/>
                <w:szCs w:val="20"/>
              </w:rPr>
              <w:t>Airey</w:t>
            </w:r>
          </w:p>
        </w:tc>
        <w:tc>
          <w:tcPr>
            <w:tcW w:w="3960" w:type="dxa"/>
          </w:tcPr>
          <w:p w14:paraId="4E7D5335" w14:textId="77777777" w:rsidR="00A62217" w:rsidRPr="009610A4" w:rsidDel="00E3448D" w:rsidRDefault="00A62217" w:rsidP="00A57AED">
            <w:pPr>
              <w:contextualSpacing/>
            </w:pPr>
            <w:r w:rsidRPr="00E52C9B">
              <w:t>Robert Stuart Ltd</w:t>
            </w:r>
            <w:r>
              <w:t>.</w:t>
            </w:r>
          </w:p>
        </w:tc>
        <w:tc>
          <w:tcPr>
            <w:tcW w:w="1775" w:type="dxa"/>
          </w:tcPr>
          <w:p w14:paraId="38EDFFF5" w14:textId="77777777" w:rsidR="00A62217" w:rsidRPr="009610A4" w:rsidDel="00E3448D" w:rsidRDefault="00A62217" w:rsidP="00A57AED">
            <w:pPr>
              <w:contextualSpacing/>
            </w:pPr>
          </w:p>
        </w:tc>
      </w:tr>
      <w:tr w:rsidR="00A62217" w:rsidRPr="009610A4" w:rsidDel="00E3448D" w14:paraId="18CAB85B" w14:textId="77777777" w:rsidTr="0041651E">
        <w:tc>
          <w:tcPr>
            <w:tcW w:w="295" w:type="dxa"/>
          </w:tcPr>
          <w:p w14:paraId="7D2DDF7D" w14:textId="77777777" w:rsidR="00A62217" w:rsidRDefault="00A62217" w:rsidP="00A57AED">
            <w:pPr>
              <w:contextualSpacing/>
            </w:pPr>
            <w:r>
              <w:t>*</w:t>
            </w:r>
          </w:p>
        </w:tc>
        <w:tc>
          <w:tcPr>
            <w:tcW w:w="1793" w:type="dxa"/>
            <w:vAlign w:val="center"/>
          </w:tcPr>
          <w:p w14:paraId="63E3AB94" w14:textId="77777777" w:rsidR="00A62217" w:rsidRPr="009610A4" w:rsidDel="00E3448D" w:rsidRDefault="00A62217" w:rsidP="00A57AED">
            <w:pPr>
              <w:contextualSpacing/>
            </w:pPr>
            <w:r>
              <w:rPr>
                <w:rFonts w:cs="Arial"/>
                <w:szCs w:val="20"/>
              </w:rPr>
              <w:t>Phillip</w:t>
            </w:r>
          </w:p>
        </w:tc>
        <w:tc>
          <w:tcPr>
            <w:tcW w:w="1825" w:type="dxa"/>
            <w:vAlign w:val="center"/>
          </w:tcPr>
          <w:p w14:paraId="303A3FA2" w14:textId="77777777" w:rsidR="00A62217" w:rsidRPr="009610A4" w:rsidDel="00E3448D" w:rsidRDefault="00A62217" w:rsidP="00A57AED">
            <w:pPr>
              <w:contextualSpacing/>
            </w:pPr>
            <w:r>
              <w:rPr>
                <w:rFonts w:cs="Arial"/>
                <w:szCs w:val="20"/>
              </w:rPr>
              <w:t>Brockman</w:t>
            </w:r>
          </w:p>
        </w:tc>
        <w:tc>
          <w:tcPr>
            <w:tcW w:w="3960" w:type="dxa"/>
          </w:tcPr>
          <w:p w14:paraId="45A7EEC9" w14:textId="77777777" w:rsidR="00A62217" w:rsidRPr="009610A4" w:rsidDel="00E3448D" w:rsidRDefault="00A62217" w:rsidP="00A57AED">
            <w:pPr>
              <w:contextualSpacing/>
            </w:pPr>
            <w:proofErr w:type="spellStart"/>
            <w:r w:rsidRPr="00E52C9B">
              <w:t>Techmetals</w:t>
            </w:r>
            <w:proofErr w:type="spellEnd"/>
            <w:r w:rsidRPr="00E52C9B">
              <w:t>, Incorporated</w:t>
            </w:r>
          </w:p>
        </w:tc>
        <w:tc>
          <w:tcPr>
            <w:tcW w:w="1775" w:type="dxa"/>
          </w:tcPr>
          <w:p w14:paraId="5680730E" w14:textId="77777777" w:rsidR="00A62217" w:rsidRDefault="00A62217" w:rsidP="00A57AED">
            <w:pPr>
              <w:contextualSpacing/>
            </w:pPr>
          </w:p>
        </w:tc>
      </w:tr>
      <w:tr w:rsidR="00A62217" w:rsidRPr="009610A4" w:rsidDel="00E3448D" w14:paraId="2A1CFD26" w14:textId="77777777" w:rsidTr="0041651E">
        <w:tc>
          <w:tcPr>
            <w:tcW w:w="295" w:type="dxa"/>
          </w:tcPr>
          <w:p w14:paraId="340F2D7D" w14:textId="77777777" w:rsidR="00A62217" w:rsidRDefault="00A62217" w:rsidP="00A57AED">
            <w:pPr>
              <w:contextualSpacing/>
            </w:pPr>
          </w:p>
        </w:tc>
        <w:tc>
          <w:tcPr>
            <w:tcW w:w="1793" w:type="dxa"/>
            <w:vAlign w:val="center"/>
          </w:tcPr>
          <w:p w14:paraId="4550D140" w14:textId="77777777" w:rsidR="00A62217" w:rsidRPr="009610A4" w:rsidDel="00E3448D" w:rsidRDefault="00A62217" w:rsidP="00A57AED">
            <w:pPr>
              <w:contextualSpacing/>
            </w:pPr>
            <w:r>
              <w:rPr>
                <w:rFonts w:cs="Arial"/>
                <w:szCs w:val="20"/>
              </w:rPr>
              <w:t>Cara</w:t>
            </w:r>
          </w:p>
        </w:tc>
        <w:tc>
          <w:tcPr>
            <w:tcW w:w="1825" w:type="dxa"/>
            <w:vAlign w:val="center"/>
          </w:tcPr>
          <w:p w14:paraId="487870F9" w14:textId="77777777" w:rsidR="00A62217" w:rsidRPr="009610A4" w:rsidDel="00E3448D" w:rsidRDefault="00A62217" w:rsidP="00A57AED">
            <w:pPr>
              <w:contextualSpacing/>
            </w:pPr>
            <w:proofErr w:type="spellStart"/>
            <w:r>
              <w:rPr>
                <w:rFonts w:cs="Arial"/>
                <w:szCs w:val="20"/>
              </w:rPr>
              <w:t>Burzynski</w:t>
            </w:r>
            <w:proofErr w:type="spellEnd"/>
          </w:p>
        </w:tc>
        <w:tc>
          <w:tcPr>
            <w:tcW w:w="3960" w:type="dxa"/>
          </w:tcPr>
          <w:p w14:paraId="4F92C970" w14:textId="77777777" w:rsidR="00A62217" w:rsidRPr="009610A4" w:rsidDel="00E3448D" w:rsidRDefault="00A62217" w:rsidP="00A57AED">
            <w:pPr>
              <w:contextualSpacing/>
            </w:pPr>
            <w:proofErr w:type="spellStart"/>
            <w:r w:rsidRPr="00E52C9B">
              <w:t>AeroDynamics</w:t>
            </w:r>
            <w:proofErr w:type="spellEnd"/>
            <w:r w:rsidRPr="00E52C9B">
              <w:t xml:space="preserve"> Inc</w:t>
            </w:r>
            <w:r>
              <w:t>.</w:t>
            </w:r>
          </w:p>
        </w:tc>
        <w:tc>
          <w:tcPr>
            <w:tcW w:w="1775" w:type="dxa"/>
          </w:tcPr>
          <w:p w14:paraId="4D46A461" w14:textId="77777777" w:rsidR="00A62217" w:rsidRDefault="00A62217" w:rsidP="00A57AED">
            <w:pPr>
              <w:contextualSpacing/>
            </w:pPr>
          </w:p>
        </w:tc>
      </w:tr>
      <w:tr w:rsidR="00A62217" w:rsidRPr="009610A4" w:rsidDel="00E3448D" w14:paraId="105C35B7" w14:textId="77777777" w:rsidTr="0041651E">
        <w:tc>
          <w:tcPr>
            <w:tcW w:w="295" w:type="dxa"/>
          </w:tcPr>
          <w:p w14:paraId="35286177" w14:textId="77777777" w:rsidR="00A62217" w:rsidRDefault="00A62217" w:rsidP="00A57AED">
            <w:pPr>
              <w:contextualSpacing/>
            </w:pPr>
            <w:r>
              <w:t>*</w:t>
            </w:r>
          </w:p>
        </w:tc>
        <w:tc>
          <w:tcPr>
            <w:tcW w:w="1793" w:type="dxa"/>
            <w:vAlign w:val="center"/>
          </w:tcPr>
          <w:p w14:paraId="692FD0B8" w14:textId="77777777" w:rsidR="00A62217" w:rsidRPr="009610A4" w:rsidDel="00E3448D" w:rsidRDefault="00A62217" w:rsidP="00A57AED">
            <w:pPr>
              <w:contextualSpacing/>
            </w:pPr>
            <w:r>
              <w:rPr>
                <w:rFonts w:cs="Arial"/>
                <w:szCs w:val="20"/>
              </w:rPr>
              <w:t>Stephane</w:t>
            </w:r>
          </w:p>
        </w:tc>
        <w:tc>
          <w:tcPr>
            <w:tcW w:w="1825" w:type="dxa"/>
            <w:vAlign w:val="center"/>
          </w:tcPr>
          <w:p w14:paraId="6A670F6A" w14:textId="77777777" w:rsidR="00A62217" w:rsidRPr="009610A4" w:rsidDel="00E3448D" w:rsidRDefault="00A62217" w:rsidP="00A57AED">
            <w:pPr>
              <w:contextualSpacing/>
            </w:pPr>
            <w:proofErr w:type="spellStart"/>
            <w:r>
              <w:rPr>
                <w:rFonts w:cs="Arial"/>
                <w:szCs w:val="20"/>
              </w:rPr>
              <w:t>Chaumeil</w:t>
            </w:r>
            <w:proofErr w:type="spellEnd"/>
          </w:p>
        </w:tc>
        <w:tc>
          <w:tcPr>
            <w:tcW w:w="3960" w:type="dxa"/>
          </w:tcPr>
          <w:p w14:paraId="0EC736EB" w14:textId="77777777" w:rsidR="00A62217" w:rsidRPr="009610A4" w:rsidDel="00E3448D" w:rsidRDefault="00A62217" w:rsidP="00A57AED">
            <w:pPr>
              <w:contextualSpacing/>
            </w:pPr>
            <w:r w:rsidRPr="00E52C9B">
              <w:t>Galion</w:t>
            </w:r>
          </w:p>
        </w:tc>
        <w:tc>
          <w:tcPr>
            <w:tcW w:w="1775" w:type="dxa"/>
          </w:tcPr>
          <w:p w14:paraId="0B928DF2" w14:textId="77777777" w:rsidR="00A62217" w:rsidRDefault="00A62217" w:rsidP="00A57AED">
            <w:pPr>
              <w:contextualSpacing/>
            </w:pPr>
          </w:p>
        </w:tc>
      </w:tr>
      <w:tr w:rsidR="00A62217" w:rsidRPr="009610A4" w:rsidDel="00E3448D" w14:paraId="22DA4CFB" w14:textId="77777777" w:rsidTr="00C86C9F">
        <w:tc>
          <w:tcPr>
            <w:tcW w:w="295" w:type="dxa"/>
          </w:tcPr>
          <w:p w14:paraId="3C8554D2" w14:textId="77777777" w:rsidR="00A62217" w:rsidRDefault="00A62217" w:rsidP="00A57AED">
            <w:pPr>
              <w:contextualSpacing/>
            </w:pPr>
          </w:p>
        </w:tc>
        <w:tc>
          <w:tcPr>
            <w:tcW w:w="1793" w:type="dxa"/>
          </w:tcPr>
          <w:p w14:paraId="6213BDA0" w14:textId="77777777" w:rsidR="00A62217" w:rsidRPr="00D524F6" w:rsidRDefault="00A62217" w:rsidP="00A57AED">
            <w:pPr>
              <w:contextualSpacing/>
            </w:pPr>
            <w:r>
              <w:t>Neil</w:t>
            </w:r>
          </w:p>
        </w:tc>
        <w:tc>
          <w:tcPr>
            <w:tcW w:w="1825" w:type="dxa"/>
          </w:tcPr>
          <w:p w14:paraId="2A5E8BF4" w14:textId="77777777" w:rsidR="00A62217" w:rsidRPr="00D524F6" w:rsidRDefault="00A62217" w:rsidP="00A57AED">
            <w:pPr>
              <w:contextualSpacing/>
            </w:pPr>
            <w:r>
              <w:t>Cowan</w:t>
            </w:r>
          </w:p>
        </w:tc>
        <w:tc>
          <w:tcPr>
            <w:tcW w:w="3960" w:type="dxa"/>
          </w:tcPr>
          <w:p w14:paraId="082BC78A" w14:textId="2028A120" w:rsidR="00A62217" w:rsidRPr="00E52C9B" w:rsidRDefault="00F82B6D" w:rsidP="00A57AED">
            <w:pPr>
              <w:contextualSpacing/>
            </w:pPr>
            <w:r>
              <w:t>–Independent Contractor (Nadcap Auditor)</w:t>
            </w:r>
          </w:p>
        </w:tc>
        <w:tc>
          <w:tcPr>
            <w:tcW w:w="1775" w:type="dxa"/>
          </w:tcPr>
          <w:p w14:paraId="1292BFF1" w14:textId="77777777" w:rsidR="00A62217" w:rsidRDefault="00A62217" w:rsidP="00A57AED">
            <w:pPr>
              <w:contextualSpacing/>
            </w:pPr>
          </w:p>
        </w:tc>
      </w:tr>
      <w:tr w:rsidR="00A62217" w:rsidRPr="009610A4" w:rsidDel="00E3448D" w14:paraId="1308C05E" w14:textId="77777777" w:rsidTr="0041651E">
        <w:tc>
          <w:tcPr>
            <w:tcW w:w="295" w:type="dxa"/>
          </w:tcPr>
          <w:p w14:paraId="2BC7F727" w14:textId="77777777" w:rsidR="00A62217" w:rsidRDefault="00A62217" w:rsidP="00A57AED">
            <w:pPr>
              <w:contextualSpacing/>
            </w:pPr>
            <w:r>
              <w:t>*</w:t>
            </w:r>
          </w:p>
        </w:tc>
        <w:tc>
          <w:tcPr>
            <w:tcW w:w="1793" w:type="dxa"/>
            <w:vAlign w:val="center"/>
          </w:tcPr>
          <w:p w14:paraId="31614EF6" w14:textId="77777777" w:rsidR="00A62217" w:rsidRPr="009610A4" w:rsidDel="00E3448D" w:rsidRDefault="00A62217" w:rsidP="00A57AED">
            <w:pPr>
              <w:contextualSpacing/>
            </w:pPr>
            <w:r>
              <w:rPr>
                <w:rFonts w:cs="Arial"/>
                <w:szCs w:val="20"/>
              </w:rPr>
              <w:t>Jim</w:t>
            </w:r>
          </w:p>
        </w:tc>
        <w:tc>
          <w:tcPr>
            <w:tcW w:w="1825" w:type="dxa"/>
            <w:vAlign w:val="center"/>
          </w:tcPr>
          <w:p w14:paraId="7D1F0B41" w14:textId="77777777" w:rsidR="00A62217" w:rsidRPr="009610A4" w:rsidDel="00E3448D" w:rsidRDefault="00A62217" w:rsidP="00A57AED">
            <w:pPr>
              <w:contextualSpacing/>
            </w:pPr>
            <w:r>
              <w:rPr>
                <w:rFonts w:cs="Arial"/>
                <w:szCs w:val="20"/>
              </w:rPr>
              <w:t>Cummings</w:t>
            </w:r>
          </w:p>
        </w:tc>
        <w:tc>
          <w:tcPr>
            <w:tcW w:w="3960" w:type="dxa"/>
          </w:tcPr>
          <w:p w14:paraId="2AFFBF4A" w14:textId="77777777" w:rsidR="00A62217" w:rsidRPr="009610A4" w:rsidDel="00E3448D" w:rsidRDefault="00A62217" w:rsidP="00A57AED">
            <w:pPr>
              <w:contextualSpacing/>
            </w:pPr>
            <w:r w:rsidRPr="00E52C9B">
              <w:t>Metal Finishing Company Inc.</w:t>
            </w:r>
          </w:p>
        </w:tc>
        <w:tc>
          <w:tcPr>
            <w:tcW w:w="1775" w:type="dxa"/>
          </w:tcPr>
          <w:p w14:paraId="305A4B55" w14:textId="77777777" w:rsidR="00A62217" w:rsidRDefault="00A62217" w:rsidP="00A57AED">
            <w:pPr>
              <w:contextualSpacing/>
            </w:pPr>
          </w:p>
        </w:tc>
      </w:tr>
      <w:tr w:rsidR="00A62217" w:rsidRPr="009610A4" w:rsidDel="00E3448D" w14:paraId="57D37B31" w14:textId="77777777" w:rsidTr="0041651E">
        <w:tc>
          <w:tcPr>
            <w:tcW w:w="295" w:type="dxa"/>
          </w:tcPr>
          <w:p w14:paraId="51C88A5F" w14:textId="77777777" w:rsidR="00A62217" w:rsidRDefault="00A62217" w:rsidP="00A57AED">
            <w:pPr>
              <w:contextualSpacing/>
            </w:pPr>
          </w:p>
        </w:tc>
        <w:tc>
          <w:tcPr>
            <w:tcW w:w="1793" w:type="dxa"/>
            <w:vAlign w:val="center"/>
          </w:tcPr>
          <w:p w14:paraId="15714F82" w14:textId="77777777" w:rsidR="00A62217" w:rsidRPr="009610A4" w:rsidDel="00E3448D" w:rsidRDefault="00A62217" w:rsidP="00A57AED">
            <w:pPr>
              <w:contextualSpacing/>
            </w:pPr>
            <w:r>
              <w:rPr>
                <w:rFonts w:cs="Arial"/>
                <w:color w:val="000000"/>
                <w:szCs w:val="20"/>
              </w:rPr>
              <w:t>David</w:t>
            </w:r>
          </w:p>
        </w:tc>
        <w:tc>
          <w:tcPr>
            <w:tcW w:w="1825" w:type="dxa"/>
            <w:vAlign w:val="center"/>
          </w:tcPr>
          <w:p w14:paraId="3703DE68" w14:textId="77777777" w:rsidR="00A62217" w:rsidRPr="009610A4" w:rsidDel="00E3448D" w:rsidRDefault="00A62217" w:rsidP="00A57AED">
            <w:pPr>
              <w:contextualSpacing/>
            </w:pPr>
            <w:r>
              <w:rPr>
                <w:rFonts w:cs="Arial"/>
                <w:color w:val="000000"/>
                <w:szCs w:val="20"/>
              </w:rPr>
              <w:t>Curry</w:t>
            </w:r>
          </w:p>
        </w:tc>
        <w:tc>
          <w:tcPr>
            <w:tcW w:w="3960" w:type="dxa"/>
          </w:tcPr>
          <w:p w14:paraId="2A780DC1" w14:textId="77777777" w:rsidR="00A62217" w:rsidRPr="009610A4" w:rsidDel="00E3448D" w:rsidRDefault="00A62217" w:rsidP="00A57AED">
            <w:pPr>
              <w:contextualSpacing/>
            </w:pPr>
            <w:r w:rsidRPr="00E52C9B">
              <w:t>Tewkesbury (Diamond Chrome) Plating Co Ltd</w:t>
            </w:r>
            <w:r>
              <w:t>.</w:t>
            </w:r>
          </w:p>
        </w:tc>
        <w:tc>
          <w:tcPr>
            <w:tcW w:w="1775" w:type="dxa"/>
          </w:tcPr>
          <w:p w14:paraId="5AB47403" w14:textId="77777777" w:rsidR="00A62217" w:rsidRDefault="00A62217" w:rsidP="00A57AED">
            <w:pPr>
              <w:contextualSpacing/>
            </w:pPr>
          </w:p>
        </w:tc>
      </w:tr>
      <w:tr w:rsidR="00A62217" w:rsidRPr="009610A4" w:rsidDel="00E3448D" w14:paraId="3CFB44A6" w14:textId="77777777" w:rsidTr="00C86C9F">
        <w:tc>
          <w:tcPr>
            <w:tcW w:w="295" w:type="dxa"/>
          </w:tcPr>
          <w:p w14:paraId="6729FA6A" w14:textId="77777777" w:rsidR="00A62217" w:rsidRDefault="00A62217" w:rsidP="00A57AED">
            <w:pPr>
              <w:contextualSpacing/>
            </w:pPr>
          </w:p>
        </w:tc>
        <w:tc>
          <w:tcPr>
            <w:tcW w:w="1793" w:type="dxa"/>
          </w:tcPr>
          <w:p w14:paraId="507898C3" w14:textId="77777777" w:rsidR="00A62217" w:rsidRPr="00D524F6" w:rsidRDefault="00A62217" w:rsidP="00A57AED">
            <w:pPr>
              <w:contextualSpacing/>
            </w:pPr>
            <w:r>
              <w:t>Fernando</w:t>
            </w:r>
          </w:p>
        </w:tc>
        <w:tc>
          <w:tcPr>
            <w:tcW w:w="1825" w:type="dxa"/>
          </w:tcPr>
          <w:p w14:paraId="3D894C07" w14:textId="77777777" w:rsidR="00A62217" w:rsidRPr="00D524F6" w:rsidRDefault="00A62217" w:rsidP="00A57AED">
            <w:pPr>
              <w:contextualSpacing/>
            </w:pPr>
            <w:r>
              <w:t xml:space="preserve">de la </w:t>
            </w:r>
            <w:proofErr w:type="spellStart"/>
            <w:r w:rsidRPr="00203F18">
              <w:t>Lastra</w:t>
            </w:r>
            <w:proofErr w:type="spellEnd"/>
          </w:p>
        </w:tc>
        <w:tc>
          <w:tcPr>
            <w:tcW w:w="3960" w:type="dxa"/>
          </w:tcPr>
          <w:p w14:paraId="5736848E" w14:textId="77777777" w:rsidR="00A62217" w:rsidRPr="00E52C9B" w:rsidRDefault="00A62217" w:rsidP="00A57AED">
            <w:pPr>
              <w:contextualSpacing/>
            </w:pPr>
            <w:r w:rsidRPr="00203F18">
              <w:t xml:space="preserve">Centro </w:t>
            </w:r>
            <w:proofErr w:type="spellStart"/>
            <w:r w:rsidRPr="00203F18">
              <w:t>Analisis</w:t>
            </w:r>
            <w:proofErr w:type="spellEnd"/>
            <w:r w:rsidRPr="00203F18">
              <w:t xml:space="preserve"> </w:t>
            </w:r>
            <w:proofErr w:type="spellStart"/>
            <w:r w:rsidRPr="00203F18">
              <w:t>Agropecuario</w:t>
            </w:r>
            <w:proofErr w:type="spellEnd"/>
            <w:r w:rsidRPr="00203F18">
              <w:t xml:space="preserve"> (</w:t>
            </w:r>
            <w:proofErr w:type="spellStart"/>
            <w:r w:rsidRPr="00203F18">
              <w:t>Canagrosa</w:t>
            </w:r>
            <w:proofErr w:type="spellEnd"/>
            <w:r w:rsidRPr="00203F18">
              <w:t>)</w:t>
            </w:r>
          </w:p>
        </w:tc>
        <w:tc>
          <w:tcPr>
            <w:tcW w:w="1775" w:type="dxa"/>
          </w:tcPr>
          <w:p w14:paraId="61881785" w14:textId="77777777" w:rsidR="00A62217" w:rsidRDefault="00A62217" w:rsidP="00A57AED">
            <w:pPr>
              <w:contextualSpacing/>
            </w:pPr>
          </w:p>
        </w:tc>
      </w:tr>
      <w:tr w:rsidR="00A62217" w:rsidRPr="009610A4" w:rsidDel="00E3448D" w14:paraId="39ED7C32" w14:textId="77777777" w:rsidTr="00C86C9F">
        <w:tc>
          <w:tcPr>
            <w:tcW w:w="295" w:type="dxa"/>
          </w:tcPr>
          <w:p w14:paraId="0E856D66" w14:textId="77777777" w:rsidR="00A62217" w:rsidRDefault="00A62217" w:rsidP="00A57AED">
            <w:pPr>
              <w:contextualSpacing/>
            </w:pPr>
          </w:p>
        </w:tc>
        <w:tc>
          <w:tcPr>
            <w:tcW w:w="1793" w:type="dxa"/>
          </w:tcPr>
          <w:p w14:paraId="2FC29468" w14:textId="77777777" w:rsidR="00A62217" w:rsidRPr="00D524F6" w:rsidRDefault="00A62217" w:rsidP="00A57AED">
            <w:pPr>
              <w:contextualSpacing/>
            </w:pPr>
            <w:r w:rsidRPr="00203F18">
              <w:t>Pedro</w:t>
            </w:r>
          </w:p>
        </w:tc>
        <w:tc>
          <w:tcPr>
            <w:tcW w:w="1825" w:type="dxa"/>
          </w:tcPr>
          <w:p w14:paraId="56C43604" w14:textId="77777777" w:rsidR="00A62217" w:rsidRPr="00D524F6" w:rsidRDefault="00A62217" w:rsidP="00A57AED">
            <w:pPr>
              <w:contextualSpacing/>
            </w:pPr>
            <w:r>
              <w:t xml:space="preserve">de la </w:t>
            </w:r>
            <w:proofErr w:type="spellStart"/>
            <w:r w:rsidRPr="00203F18">
              <w:t>Lastra</w:t>
            </w:r>
            <w:proofErr w:type="spellEnd"/>
          </w:p>
        </w:tc>
        <w:tc>
          <w:tcPr>
            <w:tcW w:w="3960" w:type="dxa"/>
          </w:tcPr>
          <w:p w14:paraId="4059284C" w14:textId="77777777" w:rsidR="00A62217" w:rsidRPr="00E52C9B" w:rsidRDefault="00A62217" w:rsidP="00A57AED">
            <w:pPr>
              <w:contextualSpacing/>
            </w:pPr>
            <w:r w:rsidRPr="00203F18">
              <w:t xml:space="preserve">Centro </w:t>
            </w:r>
            <w:proofErr w:type="spellStart"/>
            <w:r w:rsidRPr="00203F18">
              <w:t>Analisis</w:t>
            </w:r>
            <w:proofErr w:type="spellEnd"/>
            <w:r w:rsidRPr="00203F18">
              <w:t xml:space="preserve"> </w:t>
            </w:r>
            <w:proofErr w:type="spellStart"/>
            <w:r w:rsidRPr="00203F18">
              <w:t>Agropecuario</w:t>
            </w:r>
            <w:proofErr w:type="spellEnd"/>
            <w:r w:rsidRPr="00203F18">
              <w:t xml:space="preserve"> (</w:t>
            </w:r>
            <w:proofErr w:type="spellStart"/>
            <w:r w:rsidRPr="00203F18">
              <w:t>Canagrosa</w:t>
            </w:r>
            <w:proofErr w:type="spellEnd"/>
            <w:r w:rsidRPr="00203F18">
              <w:t>)</w:t>
            </w:r>
          </w:p>
        </w:tc>
        <w:tc>
          <w:tcPr>
            <w:tcW w:w="1775" w:type="dxa"/>
          </w:tcPr>
          <w:p w14:paraId="376BB437" w14:textId="77777777" w:rsidR="00A62217" w:rsidRDefault="00A62217" w:rsidP="00A57AED">
            <w:pPr>
              <w:contextualSpacing/>
            </w:pPr>
          </w:p>
        </w:tc>
      </w:tr>
      <w:tr w:rsidR="00A62217" w:rsidRPr="009610A4" w:rsidDel="00E3448D" w14:paraId="5C208086" w14:textId="77777777" w:rsidTr="0041651E">
        <w:tc>
          <w:tcPr>
            <w:tcW w:w="295" w:type="dxa"/>
          </w:tcPr>
          <w:p w14:paraId="66C25850" w14:textId="77777777" w:rsidR="00A62217" w:rsidRDefault="00A62217" w:rsidP="00A57AED">
            <w:pPr>
              <w:contextualSpacing/>
            </w:pPr>
          </w:p>
        </w:tc>
        <w:tc>
          <w:tcPr>
            <w:tcW w:w="1793" w:type="dxa"/>
            <w:vAlign w:val="center"/>
          </w:tcPr>
          <w:p w14:paraId="48C2E036" w14:textId="77777777" w:rsidR="00A62217" w:rsidRPr="009610A4" w:rsidDel="00E3448D" w:rsidRDefault="00A62217" w:rsidP="00A57AED">
            <w:pPr>
              <w:contextualSpacing/>
            </w:pPr>
            <w:r>
              <w:rPr>
                <w:rFonts w:cs="Arial"/>
                <w:szCs w:val="20"/>
              </w:rPr>
              <w:t>Phil</w:t>
            </w:r>
          </w:p>
        </w:tc>
        <w:tc>
          <w:tcPr>
            <w:tcW w:w="1825" w:type="dxa"/>
            <w:vAlign w:val="center"/>
          </w:tcPr>
          <w:p w14:paraId="772047B6" w14:textId="77777777" w:rsidR="00A62217" w:rsidRPr="009610A4" w:rsidDel="00E3448D" w:rsidRDefault="00A62217" w:rsidP="00A57AED">
            <w:pPr>
              <w:contextualSpacing/>
            </w:pPr>
            <w:r>
              <w:rPr>
                <w:rFonts w:cs="Arial"/>
                <w:szCs w:val="20"/>
              </w:rPr>
              <w:t>Evans</w:t>
            </w:r>
          </w:p>
        </w:tc>
        <w:tc>
          <w:tcPr>
            <w:tcW w:w="3960" w:type="dxa"/>
          </w:tcPr>
          <w:p w14:paraId="2C6C17FD" w14:textId="77777777" w:rsidR="00A62217" w:rsidRPr="009610A4" w:rsidDel="00E3448D" w:rsidRDefault="00A62217" w:rsidP="00A57AED">
            <w:pPr>
              <w:contextualSpacing/>
            </w:pPr>
            <w:r w:rsidRPr="00E52C9B">
              <w:t>Senior Aerospace - Thermal Engineering</w:t>
            </w:r>
          </w:p>
        </w:tc>
        <w:tc>
          <w:tcPr>
            <w:tcW w:w="1775" w:type="dxa"/>
          </w:tcPr>
          <w:p w14:paraId="49E11CF3" w14:textId="77777777" w:rsidR="00A62217" w:rsidRDefault="00A62217" w:rsidP="00A57AED">
            <w:pPr>
              <w:contextualSpacing/>
            </w:pPr>
          </w:p>
        </w:tc>
      </w:tr>
      <w:tr w:rsidR="00A62217" w:rsidRPr="009610A4" w:rsidDel="00E3448D" w14:paraId="786CBD13" w14:textId="77777777" w:rsidTr="00C86C9F">
        <w:tc>
          <w:tcPr>
            <w:tcW w:w="295" w:type="dxa"/>
          </w:tcPr>
          <w:p w14:paraId="65EF843F" w14:textId="77777777" w:rsidR="00A62217" w:rsidRDefault="00A62217" w:rsidP="00A57AED">
            <w:pPr>
              <w:contextualSpacing/>
            </w:pPr>
          </w:p>
        </w:tc>
        <w:tc>
          <w:tcPr>
            <w:tcW w:w="1793" w:type="dxa"/>
          </w:tcPr>
          <w:p w14:paraId="30B1507C" w14:textId="77777777" w:rsidR="00A62217" w:rsidRPr="00D524F6" w:rsidRDefault="00A62217" w:rsidP="00A57AED">
            <w:pPr>
              <w:contextualSpacing/>
            </w:pPr>
            <w:r w:rsidRPr="000A1FCC">
              <w:t>Ergun</w:t>
            </w:r>
          </w:p>
        </w:tc>
        <w:tc>
          <w:tcPr>
            <w:tcW w:w="1825" w:type="dxa"/>
          </w:tcPr>
          <w:p w14:paraId="1D697898" w14:textId="77777777" w:rsidR="00A62217" w:rsidRPr="00D524F6" w:rsidRDefault="00A62217" w:rsidP="00A57AED">
            <w:pPr>
              <w:contextualSpacing/>
            </w:pPr>
            <w:proofErr w:type="spellStart"/>
            <w:r w:rsidRPr="000A1FCC">
              <w:t>Evrensel</w:t>
            </w:r>
            <w:proofErr w:type="spellEnd"/>
          </w:p>
        </w:tc>
        <w:tc>
          <w:tcPr>
            <w:tcW w:w="3960" w:type="dxa"/>
          </w:tcPr>
          <w:p w14:paraId="724426FF" w14:textId="77777777" w:rsidR="00A62217" w:rsidRPr="00E52C9B" w:rsidRDefault="00A62217" w:rsidP="00A57AED">
            <w:pPr>
              <w:contextualSpacing/>
            </w:pPr>
            <w:r w:rsidRPr="000A1FCC">
              <w:t xml:space="preserve">Turkish Aerospace Industries </w:t>
            </w:r>
            <w:proofErr w:type="spellStart"/>
            <w:r w:rsidRPr="000A1FCC">
              <w:t>Inc</w:t>
            </w:r>
            <w:proofErr w:type="spellEnd"/>
            <w:r w:rsidRPr="000A1FCC">
              <w:t xml:space="preserve"> (TAI)</w:t>
            </w:r>
          </w:p>
        </w:tc>
        <w:tc>
          <w:tcPr>
            <w:tcW w:w="1775" w:type="dxa"/>
          </w:tcPr>
          <w:p w14:paraId="3B99054A" w14:textId="77777777" w:rsidR="00A62217" w:rsidRDefault="00A62217" w:rsidP="00A57AED">
            <w:pPr>
              <w:contextualSpacing/>
            </w:pPr>
          </w:p>
        </w:tc>
      </w:tr>
      <w:tr w:rsidR="00A62217" w:rsidRPr="009610A4" w:rsidDel="00E3448D" w14:paraId="113B09F1" w14:textId="77777777" w:rsidTr="0041651E">
        <w:tc>
          <w:tcPr>
            <w:tcW w:w="295" w:type="dxa"/>
          </w:tcPr>
          <w:p w14:paraId="7E9E6FE5" w14:textId="77777777" w:rsidR="00A62217" w:rsidRDefault="00A62217" w:rsidP="00A57AED">
            <w:pPr>
              <w:contextualSpacing/>
            </w:pPr>
            <w:r>
              <w:t>*</w:t>
            </w:r>
          </w:p>
        </w:tc>
        <w:tc>
          <w:tcPr>
            <w:tcW w:w="1793" w:type="dxa"/>
            <w:vAlign w:val="center"/>
          </w:tcPr>
          <w:p w14:paraId="1F3796E9" w14:textId="77777777" w:rsidR="00A62217" w:rsidRPr="009610A4" w:rsidDel="00E3448D" w:rsidRDefault="00A62217" w:rsidP="00A57AED">
            <w:pPr>
              <w:contextualSpacing/>
            </w:pPr>
            <w:r>
              <w:rPr>
                <w:rFonts w:cs="Arial"/>
                <w:szCs w:val="20"/>
              </w:rPr>
              <w:t>Alex</w:t>
            </w:r>
          </w:p>
        </w:tc>
        <w:tc>
          <w:tcPr>
            <w:tcW w:w="1825" w:type="dxa"/>
            <w:vAlign w:val="center"/>
          </w:tcPr>
          <w:p w14:paraId="32A51FB8" w14:textId="77777777" w:rsidR="00A62217" w:rsidRPr="009610A4" w:rsidDel="00E3448D" w:rsidRDefault="00A62217" w:rsidP="00A57AED">
            <w:pPr>
              <w:contextualSpacing/>
            </w:pPr>
            <w:r>
              <w:rPr>
                <w:rFonts w:cs="Arial"/>
                <w:szCs w:val="20"/>
              </w:rPr>
              <w:t>French</w:t>
            </w:r>
          </w:p>
        </w:tc>
        <w:tc>
          <w:tcPr>
            <w:tcW w:w="3960" w:type="dxa"/>
          </w:tcPr>
          <w:p w14:paraId="03BE9CBB" w14:textId="77777777" w:rsidR="00A62217" w:rsidRPr="009610A4" w:rsidDel="00E3448D" w:rsidRDefault="00A62217" w:rsidP="00A57AED">
            <w:pPr>
              <w:contextualSpacing/>
            </w:pPr>
            <w:proofErr w:type="spellStart"/>
            <w:r w:rsidRPr="00E52C9B">
              <w:t>Aerofin</w:t>
            </w:r>
            <w:proofErr w:type="spellEnd"/>
            <w:r w:rsidRPr="00E52C9B">
              <w:t xml:space="preserve"> Laboratories Ltd</w:t>
            </w:r>
            <w:r>
              <w:t>.</w:t>
            </w:r>
          </w:p>
        </w:tc>
        <w:tc>
          <w:tcPr>
            <w:tcW w:w="1775" w:type="dxa"/>
          </w:tcPr>
          <w:p w14:paraId="428F5EF7" w14:textId="77777777" w:rsidR="00A62217" w:rsidRDefault="00A62217" w:rsidP="00A57AED">
            <w:pPr>
              <w:contextualSpacing/>
            </w:pPr>
          </w:p>
        </w:tc>
      </w:tr>
      <w:tr w:rsidR="00A62217" w:rsidRPr="009610A4" w:rsidDel="00E3448D" w14:paraId="5E3ACEA1" w14:textId="77777777" w:rsidTr="0041651E">
        <w:tc>
          <w:tcPr>
            <w:tcW w:w="295" w:type="dxa"/>
          </w:tcPr>
          <w:p w14:paraId="20F91EB8" w14:textId="77777777" w:rsidR="00A62217" w:rsidRDefault="00A62217" w:rsidP="00A57AED">
            <w:pPr>
              <w:contextualSpacing/>
            </w:pPr>
          </w:p>
        </w:tc>
        <w:tc>
          <w:tcPr>
            <w:tcW w:w="1793" w:type="dxa"/>
            <w:vAlign w:val="center"/>
          </w:tcPr>
          <w:p w14:paraId="101C4D37" w14:textId="77777777" w:rsidR="00A62217" w:rsidRPr="009610A4" w:rsidDel="00E3448D" w:rsidRDefault="00A62217" w:rsidP="00A57AED">
            <w:pPr>
              <w:contextualSpacing/>
            </w:pPr>
            <w:r>
              <w:rPr>
                <w:rFonts w:cs="Arial"/>
                <w:szCs w:val="20"/>
              </w:rPr>
              <w:t>Daniel</w:t>
            </w:r>
          </w:p>
        </w:tc>
        <w:tc>
          <w:tcPr>
            <w:tcW w:w="1825" w:type="dxa"/>
            <w:vAlign w:val="center"/>
          </w:tcPr>
          <w:p w14:paraId="28CAFEB0" w14:textId="77777777" w:rsidR="00A62217" w:rsidRPr="009610A4" w:rsidDel="00E3448D" w:rsidRDefault="00A62217" w:rsidP="00A57AED">
            <w:pPr>
              <w:contextualSpacing/>
            </w:pPr>
            <w:r>
              <w:rPr>
                <w:rFonts w:cs="Arial"/>
                <w:szCs w:val="20"/>
              </w:rPr>
              <w:t>French</w:t>
            </w:r>
          </w:p>
        </w:tc>
        <w:tc>
          <w:tcPr>
            <w:tcW w:w="3960" w:type="dxa"/>
          </w:tcPr>
          <w:p w14:paraId="0E997943" w14:textId="77777777" w:rsidR="00A62217" w:rsidRPr="009610A4" w:rsidDel="00E3448D" w:rsidRDefault="00A62217" w:rsidP="00A57AED">
            <w:pPr>
              <w:contextualSpacing/>
            </w:pPr>
            <w:proofErr w:type="spellStart"/>
            <w:r w:rsidRPr="00E52C9B">
              <w:t>Aerofin</w:t>
            </w:r>
            <w:proofErr w:type="spellEnd"/>
            <w:r w:rsidRPr="00E52C9B">
              <w:t xml:space="preserve"> Laboratories Ltd</w:t>
            </w:r>
            <w:r>
              <w:t>.</w:t>
            </w:r>
          </w:p>
        </w:tc>
        <w:tc>
          <w:tcPr>
            <w:tcW w:w="1775" w:type="dxa"/>
          </w:tcPr>
          <w:p w14:paraId="30CDB238" w14:textId="77777777" w:rsidR="00A62217" w:rsidRDefault="00A62217" w:rsidP="00A57AED">
            <w:pPr>
              <w:contextualSpacing/>
            </w:pPr>
          </w:p>
        </w:tc>
      </w:tr>
      <w:tr w:rsidR="00A62217" w:rsidRPr="009610A4" w:rsidDel="00E3448D" w14:paraId="5E00F03D" w14:textId="77777777" w:rsidTr="0041651E">
        <w:tc>
          <w:tcPr>
            <w:tcW w:w="295" w:type="dxa"/>
          </w:tcPr>
          <w:p w14:paraId="1115F0D9" w14:textId="77777777" w:rsidR="00A62217" w:rsidRDefault="00A62217" w:rsidP="00A57AED">
            <w:pPr>
              <w:contextualSpacing/>
            </w:pPr>
            <w:r>
              <w:t>*</w:t>
            </w:r>
          </w:p>
        </w:tc>
        <w:tc>
          <w:tcPr>
            <w:tcW w:w="1793" w:type="dxa"/>
            <w:vAlign w:val="center"/>
          </w:tcPr>
          <w:p w14:paraId="11C58010" w14:textId="77777777" w:rsidR="00A62217" w:rsidRPr="009610A4" w:rsidDel="00E3448D" w:rsidRDefault="00A62217" w:rsidP="00A57AED">
            <w:pPr>
              <w:contextualSpacing/>
            </w:pPr>
            <w:r>
              <w:rPr>
                <w:rFonts w:cs="Arial"/>
                <w:szCs w:val="20"/>
              </w:rPr>
              <w:t>Paul</w:t>
            </w:r>
          </w:p>
        </w:tc>
        <w:tc>
          <w:tcPr>
            <w:tcW w:w="1825" w:type="dxa"/>
            <w:vAlign w:val="center"/>
          </w:tcPr>
          <w:p w14:paraId="60CEA760" w14:textId="77777777" w:rsidR="00A62217" w:rsidRPr="009610A4" w:rsidDel="00E3448D" w:rsidRDefault="00A62217" w:rsidP="00A57AED">
            <w:pPr>
              <w:contextualSpacing/>
            </w:pPr>
            <w:r>
              <w:rPr>
                <w:rFonts w:cs="Arial"/>
                <w:szCs w:val="20"/>
              </w:rPr>
              <w:t>French</w:t>
            </w:r>
          </w:p>
        </w:tc>
        <w:tc>
          <w:tcPr>
            <w:tcW w:w="3960" w:type="dxa"/>
          </w:tcPr>
          <w:p w14:paraId="72F7E53D" w14:textId="77777777" w:rsidR="00A62217" w:rsidRPr="009610A4" w:rsidDel="00E3448D" w:rsidRDefault="00A62217" w:rsidP="00A57AED">
            <w:pPr>
              <w:contextualSpacing/>
            </w:pPr>
            <w:proofErr w:type="spellStart"/>
            <w:r w:rsidRPr="00E52C9B">
              <w:t>Aerofin</w:t>
            </w:r>
            <w:proofErr w:type="spellEnd"/>
            <w:r w:rsidRPr="00E52C9B">
              <w:t xml:space="preserve"> Laboratories Ltd</w:t>
            </w:r>
            <w:r>
              <w:t>.</w:t>
            </w:r>
          </w:p>
        </w:tc>
        <w:tc>
          <w:tcPr>
            <w:tcW w:w="1775" w:type="dxa"/>
          </w:tcPr>
          <w:p w14:paraId="2B224D6C" w14:textId="77777777" w:rsidR="00A62217" w:rsidRDefault="00A62217" w:rsidP="00A57AED">
            <w:pPr>
              <w:contextualSpacing/>
            </w:pPr>
          </w:p>
        </w:tc>
      </w:tr>
      <w:tr w:rsidR="00A62217" w:rsidRPr="009610A4" w:rsidDel="00E3448D" w14:paraId="7632E735" w14:textId="77777777" w:rsidTr="0041651E">
        <w:tc>
          <w:tcPr>
            <w:tcW w:w="295" w:type="dxa"/>
          </w:tcPr>
          <w:p w14:paraId="650D435A" w14:textId="77777777" w:rsidR="00A62217" w:rsidRDefault="00A62217" w:rsidP="00A57AED">
            <w:pPr>
              <w:contextualSpacing/>
            </w:pPr>
          </w:p>
        </w:tc>
        <w:tc>
          <w:tcPr>
            <w:tcW w:w="1793" w:type="dxa"/>
            <w:vAlign w:val="center"/>
          </w:tcPr>
          <w:p w14:paraId="48DDC2D0" w14:textId="77777777" w:rsidR="00A62217" w:rsidRPr="009610A4" w:rsidDel="00E3448D" w:rsidRDefault="00A62217" w:rsidP="00A57AED">
            <w:pPr>
              <w:contextualSpacing/>
            </w:pPr>
            <w:r>
              <w:rPr>
                <w:rFonts w:cs="Arial"/>
                <w:szCs w:val="20"/>
              </w:rPr>
              <w:t>Dave</w:t>
            </w:r>
          </w:p>
        </w:tc>
        <w:tc>
          <w:tcPr>
            <w:tcW w:w="1825" w:type="dxa"/>
            <w:vAlign w:val="center"/>
          </w:tcPr>
          <w:p w14:paraId="7E878DB6" w14:textId="77777777" w:rsidR="00A62217" w:rsidRPr="009610A4" w:rsidDel="00E3448D" w:rsidRDefault="00A62217" w:rsidP="00A57AED">
            <w:pPr>
              <w:contextualSpacing/>
            </w:pPr>
            <w:r>
              <w:rPr>
                <w:rFonts w:cs="Arial"/>
                <w:szCs w:val="20"/>
              </w:rPr>
              <w:t>Gray</w:t>
            </w:r>
          </w:p>
        </w:tc>
        <w:tc>
          <w:tcPr>
            <w:tcW w:w="3960" w:type="dxa"/>
          </w:tcPr>
          <w:p w14:paraId="31546B64" w14:textId="77777777" w:rsidR="00A62217" w:rsidRPr="009610A4" w:rsidDel="00E3448D" w:rsidRDefault="00A62217" w:rsidP="00A57AED">
            <w:pPr>
              <w:contextualSpacing/>
            </w:pPr>
            <w:r w:rsidRPr="00E52C9B">
              <w:t>Mitchell Labs</w:t>
            </w:r>
          </w:p>
        </w:tc>
        <w:tc>
          <w:tcPr>
            <w:tcW w:w="1775" w:type="dxa"/>
          </w:tcPr>
          <w:p w14:paraId="0EA8A0F1" w14:textId="77777777" w:rsidR="00A62217" w:rsidRDefault="00A62217" w:rsidP="00A57AED">
            <w:pPr>
              <w:contextualSpacing/>
            </w:pPr>
          </w:p>
        </w:tc>
      </w:tr>
      <w:tr w:rsidR="00A62217" w:rsidRPr="009610A4" w:rsidDel="00E3448D" w14:paraId="7247C510" w14:textId="77777777" w:rsidTr="0041651E">
        <w:tc>
          <w:tcPr>
            <w:tcW w:w="295" w:type="dxa"/>
          </w:tcPr>
          <w:p w14:paraId="19DCDC29" w14:textId="77777777" w:rsidR="00A62217" w:rsidRDefault="00A62217" w:rsidP="00A57AED">
            <w:pPr>
              <w:contextualSpacing/>
            </w:pPr>
          </w:p>
        </w:tc>
        <w:tc>
          <w:tcPr>
            <w:tcW w:w="1793" w:type="dxa"/>
            <w:vAlign w:val="center"/>
          </w:tcPr>
          <w:p w14:paraId="48F6C6C5" w14:textId="77777777" w:rsidR="00A62217" w:rsidRPr="009610A4" w:rsidDel="00E3448D" w:rsidRDefault="00A62217" w:rsidP="00A57AED">
            <w:pPr>
              <w:contextualSpacing/>
            </w:pPr>
            <w:proofErr w:type="spellStart"/>
            <w:r>
              <w:rPr>
                <w:rFonts w:cs="Arial"/>
                <w:szCs w:val="20"/>
              </w:rPr>
              <w:t>Malgorzata</w:t>
            </w:r>
            <w:proofErr w:type="spellEnd"/>
          </w:p>
        </w:tc>
        <w:tc>
          <w:tcPr>
            <w:tcW w:w="1825" w:type="dxa"/>
            <w:vAlign w:val="center"/>
          </w:tcPr>
          <w:p w14:paraId="3E343E0C" w14:textId="77777777" w:rsidR="00A62217" w:rsidRPr="009610A4" w:rsidDel="00E3448D" w:rsidRDefault="00A62217" w:rsidP="00A57AED">
            <w:pPr>
              <w:contextualSpacing/>
            </w:pPr>
            <w:proofErr w:type="spellStart"/>
            <w:r>
              <w:rPr>
                <w:rFonts w:cs="Arial"/>
                <w:szCs w:val="20"/>
              </w:rPr>
              <w:t>Groele</w:t>
            </w:r>
            <w:proofErr w:type="spellEnd"/>
          </w:p>
        </w:tc>
        <w:tc>
          <w:tcPr>
            <w:tcW w:w="3960" w:type="dxa"/>
          </w:tcPr>
          <w:p w14:paraId="753D1AF6" w14:textId="77777777" w:rsidR="00A62217" w:rsidRPr="009610A4" w:rsidDel="00E3448D" w:rsidRDefault="00A62217" w:rsidP="00A57AED">
            <w:pPr>
              <w:contextualSpacing/>
            </w:pPr>
            <w:proofErr w:type="spellStart"/>
            <w:r w:rsidRPr="00E52C9B">
              <w:t>Polskie</w:t>
            </w:r>
            <w:proofErr w:type="spellEnd"/>
            <w:r w:rsidRPr="00E52C9B">
              <w:t xml:space="preserve"> </w:t>
            </w:r>
            <w:proofErr w:type="spellStart"/>
            <w:r w:rsidRPr="00E52C9B">
              <w:t>Zaklady</w:t>
            </w:r>
            <w:proofErr w:type="spellEnd"/>
            <w:r w:rsidRPr="00E52C9B">
              <w:t xml:space="preserve"> </w:t>
            </w:r>
            <w:proofErr w:type="spellStart"/>
            <w:r w:rsidRPr="00E52C9B">
              <w:t>Lotnicze</w:t>
            </w:r>
            <w:proofErr w:type="spellEnd"/>
            <w:r w:rsidRPr="00E52C9B">
              <w:t xml:space="preserve"> Sp. z o. o.</w:t>
            </w:r>
          </w:p>
        </w:tc>
        <w:tc>
          <w:tcPr>
            <w:tcW w:w="1775" w:type="dxa"/>
          </w:tcPr>
          <w:p w14:paraId="44404FF2" w14:textId="77777777" w:rsidR="00A62217" w:rsidRDefault="00A62217" w:rsidP="00A57AED">
            <w:pPr>
              <w:contextualSpacing/>
            </w:pPr>
          </w:p>
        </w:tc>
      </w:tr>
      <w:tr w:rsidR="00A62217" w:rsidRPr="009610A4" w:rsidDel="00E3448D" w14:paraId="7B54D1BC" w14:textId="77777777" w:rsidTr="00C86C9F">
        <w:tc>
          <w:tcPr>
            <w:tcW w:w="295" w:type="dxa"/>
          </w:tcPr>
          <w:p w14:paraId="465FE1F6" w14:textId="77777777" w:rsidR="00A62217" w:rsidRDefault="00A62217" w:rsidP="0041651E">
            <w:pPr>
              <w:contextualSpacing/>
            </w:pPr>
            <w:r>
              <w:t>*</w:t>
            </w:r>
          </w:p>
        </w:tc>
        <w:tc>
          <w:tcPr>
            <w:tcW w:w="1793" w:type="dxa"/>
          </w:tcPr>
          <w:p w14:paraId="676C6A9D" w14:textId="77777777" w:rsidR="00A62217" w:rsidRPr="00D524F6" w:rsidRDefault="00A62217" w:rsidP="0041651E">
            <w:pPr>
              <w:contextualSpacing/>
            </w:pPr>
            <w:r>
              <w:t>Bill</w:t>
            </w:r>
          </w:p>
        </w:tc>
        <w:tc>
          <w:tcPr>
            <w:tcW w:w="1825" w:type="dxa"/>
          </w:tcPr>
          <w:p w14:paraId="4542F77B" w14:textId="77777777" w:rsidR="00A62217" w:rsidRPr="00D524F6" w:rsidRDefault="00A62217" w:rsidP="0041651E">
            <w:pPr>
              <w:contextualSpacing/>
            </w:pPr>
            <w:proofErr w:type="spellStart"/>
            <w:r>
              <w:t>Heeter</w:t>
            </w:r>
            <w:proofErr w:type="spellEnd"/>
          </w:p>
        </w:tc>
        <w:tc>
          <w:tcPr>
            <w:tcW w:w="3960" w:type="dxa"/>
          </w:tcPr>
          <w:p w14:paraId="351CF97C" w14:textId="77777777" w:rsidR="00A62217" w:rsidRPr="00E52C9B" w:rsidRDefault="00A62217" w:rsidP="0041651E">
            <w:pPr>
              <w:contextualSpacing/>
            </w:pPr>
            <w:r>
              <w:t>Skills Inc.</w:t>
            </w:r>
          </w:p>
        </w:tc>
        <w:tc>
          <w:tcPr>
            <w:tcW w:w="1775" w:type="dxa"/>
          </w:tcPr>
          <w:p w14:paraId="339BCEAF" w14:textId="77777777" w:rsidR="00A62217" w:rsidRDefault="00A62217" w:rsidP="0041651E">
            <w:pPr>
              <w:contextualSpacing/>
            </w:pPr>
          </w:p>
        </w:tc>
      </w:tr>
      <w:tr w:rsidR="00A62217" w:rsidRPr="009610A4" w:rsidDel="00E3448D" w14:paraId="020D2BC6" w14:textId="77777777" w:rsidTr="0041651E">
        <w:tc>
          <w:tcPr>
            <w:tcW w:w="295" w:type="dxa"/>
          </w:tcPr>
          <w:p w14:paraId="7FFF020B" w14:textId="77777777" w:rsidR="00A62217" w:rsidRDefault="00A62217" w:rsidP="00A57AED">
            <w:pPr>
              <w:contextualSpacing/>
            </w:pPr>
            <w:r>
              <w:t>*</w:t>
            </w:r>
          </w:p>
        </w:tc>
        <w:tc>
          <w:tcPr>
            <w:tcW w:w="1793" w:type="dxa"/>
            <w:vAlign w:val="center"/>
          </w:tcPr>
          <w:p w14:paraId="74FE5DCC" w14:textId="77777777" w:rsidR="00A62217" w:rsidRPr="009610A4" w:rsidDel="00E3448D" w:rsidRDefault="00A62217" w:rsidP="00A57AED">
            <w:pPr>
              <w:contextualSpacing/>
            </w:pPr>
            <w:r>
              <w:rPr>
                <w:rFonts w:cs="Arial"/>
                <w:szCs w:val="20"/>
              </w:rPr>
              <w:t>Eric</w:t>
            </w:r>
          </w:p>
        </w:tc>
        <w:tc>
          <w:tcPr>
            <w:tcW w:w="1825" w:type="dxa"/>
            <w:vAlign w:val="center"/>
          </w:tcPr>
          <w:p w14:paraId="5D615A69" w14:textId="77777777" w:rsidR="00A62217" w:rsidRPr="009610A4" w:rsidDel="00E3448D" w:rsidRDefault="00A62217" w:rsidP="00A57AED">
            <w:pPr>
              <w:contextualSpacing/>
            </w:pPr>
            <w:proofErr w:type="spellStart"/>
            <w:r>
              <w:rPr>
                <w:rFonts w:cs="Arial"/>
                <w:szCs w:val="20"/>
              </w:rPr>
              <w:t>Jacklin</w:t>
            </w:r>
            <w:proofErr w:type="spellEnd"/>
          </w:p>
        </w:tc>
        <w:tc>
          <w:tcPr>
            <w:tcW w:w="3960" w:type="dxa"/>
          </w:tcPr>
          <w:p w14:paraId="7AD65F5C" w14:textId="77777777" w:rsidR="00A62217" w:rsidRPr="009610A4" w:rsidDel="00E3448D" w:rsidRDefault="00A62217" w:rsidP="00A57AED">
            <w:pPr>
              <w:contextualSpacing/>
            </w:pPr>
            <w:r w:rsidRPr="00E52C9B">
              <w:t xml:space="preserve">F.M. Callahan &amp; Son, </w:t>
            </w:r>
            <w:proofErr w:type="spellStart"/>
            <w:r w:rsidRPr="00E52C9B">
              <w:t>Inc</w:t>
            </w:r>
            <w:proofErr w:type="spellEnd"/>
          </w:p>
        </w:tc>
        <w:tc>
          <w:tcPr>
            <w:tcW w:w="1775" w:type="dxa"/>
          </w:tcPr>
          <w:p w14:paraId="0D1537DF" w14:textId="77777777" w:rsidR="00A62217" w:rsidRDefault="00A62217" w:rsidP="00A57AED">
            <w:pPr>
              <w:contextualSpacing/>
            </w:pPr>
          </w:p>
        </w:tc>
      </w:tr>
      <w:tr w:rsidR="00A62217" w:rsidRPr="009610A4" w:rsidDel="00E3448D" w14:paraId="220C6964" w14:textId="77777777" w:rsidTr="0041651E">
        <w:tc>
          <w:tcPr>
            <w:tcW w:w="295" w:type="dxa"/>
          </w:tcPr>
          <w:p w14:paraId="4E550287" w14:textId="77777777" w:rsidR="00A62217" w:rsidRDefault="00A62217" w:rsidP="00A57AED">
            <w:pPr>
              <w:contextualSpacing/>
            </w:pPr>
          </w:p>
        </w:tc>
        <w:tc>
          <w:tcPr>
            <w:tcW w:w="1793" w:type="dxa"/>
            <w:vAlign w:val="center"/>
          </w:tcPr>
          <w:p w14:paraId="2E4EC658" w14:textId="77777777" w:rsidR="00A62217" w:rsidRPr="009610A4" w:rsidDel="00E3448D" w:rsidRDefault="00A62217" w:rsidP="00A57AED">
            <w:pPr>
              <w:contextualSpacing/>
            </w:pPr>
            <w:r>
              <w:rPr>
                <w:rFonts w:cs="Arial"/>
                <w:szCs w:val="20"/>
              </w:rPr>
              <w:t>Thomas</w:t>
            </w:r>
          </w:p>
        </w:tc>
        <w:tc>
          <w:tcPr>
            <w:tcW w:w="1825" w:type="dxa"/>
            <w:vAlign w:val="center"/>
          </w:tcPr>
          <w:p w14:paraId="1F1BEB86" w14:textId="77777777" w:rsidR="00A62217" w:rsidRPr="009610A4" w:rsidDel="00E3448D" w:rsidRDefault="00A62217" w:rsidP="00A57AED">
            <w:pPr>
              <w:contextualSpacing/>
            </w:pPr>
            <w:proofErr w:type="spellStart"/>
            <w:r>
              <w:rPr>
                <w:rFonts w:cs="Arial"/>
                <w:szCs w:val="20"/>
              </w:rPr>
              <w:t>Kastranek</w:t>
            </w:r>
            <w:proofErr w:type="spellEnd"/>
          </w:p>
        </w:tc>
        <w:tc>
          <w:tcPr>
            <w:tcW w:w="3960" w:type="dxa"/>
          </w:tcPr>
          <w:p w14:paraId="0D272715" w14:textId="77777777" w:rsidR="00A62217" w:rsidRPr="009610A4" w:rsidDel="00E3448D" w:rsidRDefault="00A62217" w:rsidP="00A57AED">
            <w:pPr>
              <w:contextualSpacing/>
            </w:pPr>
            <w:r w:rsidRPr="00E52C9B">
              <w:t>Otto Fuchs KG</w:t>
            </w:r>
          </w:p>
        </w:tc>
        <w:tc>
          <w:tcPr>
            <w:tcW w:w="1775" w:type="dxa"/>
          </w:tcPr>
          <w:p w14:paraId="32131B55" w14:textId="77777777" w:rsidR="00A62217" w:rsidRDefault="00A62217" w:rsidP="00A57AED">
            <w:pPr>
              <w:contextualSpacing/>
            </w:pPr>
          </w:p>
        </w:tc>
      </w:tr>
      <w:tr w:rsidR="00A62217" w:rsidRPr="009610A4" w:rsidDel="00E3448D" w14:paraId="193F3EC9" w14:textId="77777777" w:rsidTr="00C86C9F">
        <w:tc>
          <w:tcPr>
            <w:tcW w:w="295" w:type="dxa"/>
          </w:tcPr>
          <w:p w14:paraId="5133EF2E" w14:textId="77777777" w:rsidR="00A62217" w:rsidRDefault="00A62217" w:rsidP="00A57AED">
            <w:pPr>
              <w:contextualSpacing/>
            </w:pPr>
          </w:p>
        </w:tc>
        <w:tc>
          <w:tcPr>
            <w:tcW w:w="1793" w:type="dxa"/>
          </w:tcPr>
          <w:p w14:paraId="506B86FC" w14:textId="77777777" w:rsidR="00A62217" w:rsidRPr="00D524F6" w:rsidRDefault="00A62217" w:rsidP="00A57AED">
            <w:pPr>
              <w:contextualSpacing/>
            </w:pPr>
            <w:r w:rsidRPr="00203F18">
              <w:t>Marek</w:t>
            </w:r>
          </w:p>
        </w:tc>
        <w:tc>
          <w:tcPr>
            <w:tcW w:w="1825" w:type="dxa"/>
          </w:tcPr>
          <w:p w14:paraId="48265221" w14:textId="77777777" w:rsidR="00A62217" w:rsidRPr="00D524F6" w:rsidRDefault="00A62217" w:rsidP="00A57AED">
            <w:pPr>
              <w:contextualSpacing/>
            </w:pPr>
            <w:proofErr w:type="spellStart"/>
            <w:r w:rsidRPr="00203F18">
              <w:t>Kosior</w:t>
            </w:r>
            <w:proofErr w:type="spellEnd"/>
          </w:p>
        </w:tc>
        <w:tc>
          <w:tcPr>
            <w:tcW w:w="3960" w:type="dxa"/>
          </w:tcPr>
          <w:p w14:paraId="01299B00" w14:textId="77777777" w:rsidR="00A62217" w:rsidRPr="00E52C9B" w:rsidRDefault="00A62217" w:rsidP="00A57AED">
            <w:pPr>
              <w:contextualSpacing/>
            </w:pPr>
            <w:proofErr w:type="spellStart"/>
            <w:r w:rsidRPr="00203F18">
              <w:t>Wzk</w:t>
            </w:r>
            <w:proofErr w:type="spellEnd"/>
            <w:r w:rsidRPr="00203F18">
              <w:t xml:space="preserve"> PZL-MIELEC</w:t>
            </w:r>
          </w:p>
        </w:tc>
        <w:tc>
          <w:tcPr>
            <w:tcW w:w="1775" w:type="dxa"/>
          </w:tcPr>
          <w:p w14:paraId="342C0EC4" w14:textId="77777777" w:rsidR="00A62217" w:rsidRDefault="00A62217" w:rsidP="00A57AED">
            <w:pPr>
              <w:contextualSpacing/>
            </w:pPr>
          </w:p>
        </w:tc>
      </w:tr>
      <w:tr w:rsidR="00A62217" w:rsidRPr="009610A4" w:rsidDel="00E3448D" w14:paraId="7CAA7D01" w14:textId="77777777" w:rsidTr="0041651E">
        <w:tc>
          <w:tcPr>
            <w:tcW w:w="295" w:type="dxa"/>
          </w:tcPr>
          <w:p w14:paraId="2A58723C" w14:textId="77777777" w:rsidR="00A62217" w:rsidRDefault="00A62217" w:rsidP="00A57AED">
            <w:pPr>
              <w:contextualSpacing/>
            </w:pPr>
          </w:p>
        </w:tc>
        <w:tc>
          <w:tcPr>
            <w:tcW w:w="1793" w:type="dxa"/>
            <w:vAlign w:val="center"/>
          </w:tcPr>
          <w:p w14:paraId="1E233563" w14:textId="77777777" w:rsidR="00A62217" w:rsidRPr="009610A4" w:rsidDel="00E3448D" w:rsidRDefault="00A62217" w:rsidP="00A57AED">
            <w:pPr>
              <w:contextualSpacing/>
            </w:pPr>
            <w:proofErr w:type="spellStart"/>
            <w:r>
              <w:rPr>
                <w:rFonts w:cs="Arial"/>
                <w:szCs w:val="20"/>
              </w:rPr>
              <w:t>Boguslawa</w:t>
            </w:r>
            <w:proofErr w:type="spellEnd"/>
          </w:p>
        </w:tc>
        <w:tc>
          <w:tcPr>
            <w:tcW w:w="1825" w:type="dxa"/>
            <w:vAlign w:val="center"/>
          </w:tcPr>
          <w:p w14:paraId="47C3E108" w14:textId="77777777" w:rsidR="00A62217" w:rsidRPr="009610A4" w:rsidDel="00E3448D" w:rsidRDefault="00A62217" w:rsidP="00A57AED">
            <w:pPr>
              <w:contextualSpacing/>
            </w:pPr>
            <w:proofErr w:type="spellStart"/>
            <w:r>
              <w:rPr>
                <w:rFonts w:cs="Arial"/>
                <w:szCs w:val="20"/>
              </w:rPr>
              <w:t>Kuzian</w:t>
            </w:r>
            <w:proofErr w:type="spellEnd"/>
          </w:p>
        </w:tc>
        <w:tc>
          <w:tcPr>
            <w:tcW w:w="3960" w:type="dxa"/>
          </w:tcPr>
          <w:p w14:paraId="409CCBBB" w14:textId="77777777" w:rsidR="00A62217" w:rsidRPr="009610A4" w:rsidDel="00E3448D" w:rsidRDefault="00A62217" w:rsidP="00A57AED">
            <w:pPr>
              <w:contextualSpacing/>
            </w:pPr>
            <w:proofErr w:type="spellStart"/>
            <w:r w:rsidRPr="00E52C9B">
              <w:t>Polskie</w:t>
            </w:r>
            <w:proofErr w:type="spellEnd"/>
            <w:r w:rsidRPr="00E52C9B">
              <w:t xml:space="preserve"> </w:t>
            </w:r>
            <w:proofErr w:type="spellStart"/>
            <w:r w:rsidRPr="00E52C9B">
              <w:t>Zaklady</w:t>
            </w:r>
            <w:proofErr w:type="spellEnd"/>
            <w:r w:rsidRPr="00E52C9B">
              <w:t xml:space="preserve"> </w:t>
            </w:r>
            <w:proofErr w:type="spellStart"/>
            <w:r w:rsidRPr="00E52C9B">
              <w:t>Lotnicze</w:t>
            </w:r>
            <w:proofErr w:type="spellEnd"/>
            <w:r w:rsidRPr="00E52C9B">
              <w:t xml:space="preserve"> Sp. z o. o.</w:t>
            </w:r>
          </w:p>
        </w:tc>
        <w:tc>
          <w:tcPr>
            <w:tcW w:w="1775" w:type="dxa"/>
          </w:tcPr>
          <w:p w14:paraId="5A40A298" w14:textId="77777777" w:rsidR="00A62217" w:rsidRDefault="00A62217" w:rsidP="00A57AED">
            <w:pPr>
              <w:contextualSpacing/>
            </w:pPr>
          </w:p>
        </w:tc>
      </w:tr>
      <w:tr w:rsidR="00A62217" w:rsidRPr="009610A4" w:rsidDel="00E3448D" w14:paraId="3F5EA0AC" w14:textId="77777777" w:rsidTr="0041651E">
        <w:tc>
          <w:tcPr>
            <w:tcW w:w="295" w:type="dxa"/>
          </w:tcPr>
          <w:p w14:paraId="338A7CC2" w14:textId="77777777" w:rsidR="00A62217" w:rsidRDefault="00A62217" w:rsidP="00A57AED">
            <w:pPr>
              <w:contextualSpacing/>
            </w:pPr>
          </w:p>
        </w:tc>
        <w:tc>
          <w:tcPr>
            <w:tcW w:w="1793" w:type="dxa"/>
            <w:vAlign w:val="center"/>
          </w:tcPr>
          <w:p w14:paraId="62E0FFCE" w14:textId="77777777" w:rsidR="00A62217" w:rsidRPr="009610A4" w:rsidDel="00E3448D" w:rsidRDefault="00A62217" w:rsidP="00A57AED">
            <w:pPr>
              <w:contextualSpacing/>
            </w:pPr>
            <w:r>
              <w:rPr>
                <w:rFonts w:cs="Arial"/>
                <w:szCs w:val="20"/>
              </w:rPr>
              <w:t>Stefan</w:t>
            </w:r>
          </w:p>
        </w:tc>
        <w:tc>
          <w:tcPr>
            <w:tcW w:w="1825" w:type="dxa"/>
            <w:vAlign w:val="center"/>
          </w:tcPr>
          <w:p w14:paraId="6CC2802A" w14:textId="77777777" w:rsidR="00A62217" w:rsidRPr="009610A4" w:rsidDel="00E3448D" w:rsidRDefault="00A62217" w:rsidP="00A57AED">
            <w:pPr>
              <w:contextualSpacing/>
            </w:pPr>
            <w:r>
              <w:rPr>
                <w:rFonts w:cs="Arial"/>
                <w:szCs w:val="20"/>
              </w:rPr>
              <w:t>Lukas</w:t>
            </w:r>
          </w:p>
        </w:tc>
        <w:tc>
          <w:tcPr>
            <w:tcW w:w="3960" w:type="dxa"/>
          </w:tcPr>
          <w:p w14:paraId="7CBBAE89" w14:textId="77777777" w:rsidR="00A62217" w:rsidRPr="009610A4" w:rsidDel="00E3448D" w:rsidRDefault="00A62217" w:rsidP="00A57AED">
            <w:pPr>
              <w:contextualSpacing/>
            </w:pPr>
            <w:proofErr w:type="spellStart"/>
            <w:r w:rsidRPr="00E52C9B">
              <w:t>Bohler</w:t>
            </w:r>
            <w:proofErr w:type="spellEnd"/>
            <w:r w:rsidRPr="00E52C9B">
              <w:t xml:space="preserve"> </w:t>
            </w:r>
            <w:proofErr w:type="spellStart"/>
            <w:r w:rsidRPr="00E52C9B">
              <w:t>Schmiedetechnik</w:t>
            </w:r>
            <w:proofErr w:type="spellEnd"/>
            <w:r w:rsidRPr="00E52C9B">
              <w:t xml:space="preserve"> GmbH &amp; Co KG</w:t>
            </w:r>
          </w:p>
        </w:tc>
        <w:tc>
          <w:tcPr>
            <w:tcW w:w="1775" w:type="dxa"/>
          </w:tcPr>
          <w:p w14:paraId="4723B189" w14:textId="77777777" w:rsidR="00A62217" w:rsidRDefault="00A62217" w:rsidP="00A57AED">
            <w:pPr>
              <w:contextualSpacing/>
            </w:pPr>
          </w:p>
        </w:tc>
      </w:tr>
      <w:tr w:rsidR="00A62217" w:rsidRPr="009610A4" w:rsidDel="00E3448D" w14:paraId="63E938C0" w14:textId="77777777" w:rsidTr="0041651E">
        <w:tc>
          <w:tcPr>
            <w:tcW w:w="295" w:type="dxa"/>
          </w:tcPr>
          <w:p w14:paraId="2C46C066" w14:textId="77777777" w:rsidR="00A62217" w:rsidRDefault="00A62217" w:rsidP="00A57AED">
            <w:pPr>
              <w:contextualSpacing/>
            </w:pPr>
          </w:p>
        </w:tc>
        <w:tc>
          <w:tcPr>
            <w:tcW w:w="1793" w:type="dxa"/>
            <w:vAlign w:val="center"/>
          </w:tcPr>
          <w:p w14:paraId="314FE1B2" w14:textId="77777777" w:rsidR="00A62217" w:rsidRPr="009610A4" w:rsidDel="00E3448D" w:rsidRDefault="00A62217" w:rsidP="00A57AED">
            <w:pPr>
              <w:contextualSpacing/>
            </w:pPr>
            <w:r>
              <w:rPr>
                <w:rFonts w:cs="Arial"/>
                <w:szCs w:val="20"/>
              </w:rPr>
              <w:t>Ian</w:t>
            </w:r>
          </w:p>
        </w:tc>
        <w:tc>
          <w:tcPr>
            <w:tcW w:w="1825" w:type="dxa"/>
            <w:vAlign w:val="center"/>
          </w:tcPr>
          <w:p w14:paraId="60923EEE" w14:textId="77777777" w:rsidR="00A62217" w:rsidRPr="009610A4" w:rsidDel="00E3448D" w:rsidRDefault="00A62217" w:rsidP="00A57AED">
            <w:pPr>
              <w:contextualSpacing/>
            </w:pPr>
            <w:r>
              <w:rPr>
                <w:rFonts w:cs="Arial"/>
                <w:szCs w:val="20"/>
              </w:rPr>
              <w:t>McDonald</w:t>
            </w:r>
          </w:p>
        </w:tc>
        <w:tc>
          <w:tcPr>
            <w:tcW w:w="3960" w:type="dxa"/>
          </w:tcPr>
          <w:p w14:paraId="6585256C" w14:textId="77777777" w:rsidR="00A62217" w:rsidRPr="009610A4" w:rsidDel="00E3448D" w:rsidRDefault="00A62217" w:rsidP="00A57AED">
            <w:pPr>
              <w:contextualSpacing/>
            </w:pPr>
            <w:r w:rsidRPr="00E52C9B">
              <w:t>Robert Stuart Ltd</w:t>
            </w:r>
            <w:r>
              <w:t>.</w:t>
            </w:r>
          </w:p>
        </w:tc>
        <w:tc>
          <w:tcPr>
            <w:tcW w:w="1775" w:type="dxa"/>
          </w:tcPr>
          <w:p w14:paraId="3FF98ED4" w14:textId="77777777" w:rsidR="00A62217" w:rsidRDefault="00A62217" w:rsidP="00A57AED">
            <w:pPr>
              <w:contextualSpacing/>
            </w:pPr>
          </w:p>
        </w:tc>
      </w:tr>
      <w:tr w:rsidR="00A62217" w:rsidRPr="009610A4" w:rsidDel="00E3448D" w14:paraId="628C099C" w14:textId="77777777" w:rsidTr="0041651E">
        <w:tc>
          <w:tcPr>
            <w:tcW w:w="295" w:type="dxa"/>
          </w:tcPr>
          <w:p w14:paraId="05330082" w14:textId="77777777" w:rsidR="00A62217" w:rsidRDefault="00A62217" w:rsidP="00A57AED">
            <w:pPr>
              <w:contextualSpacing/>
            </w:pPr>
          </w:p>
        </w:tc>
        <w:tc>
          <w:tcPr>
            <w:tcW w:w="1793" w:type="dxa"/>
            <w:vAlign w:val="center"/>
          </w:tcPr>
          <w:p w14:paraId="10A73E24" w14:textId="77777777" w:rsidR="00A62217" w:rsidRPr="009610A4" w:rsidDel="00E3448D" w:rsidRDefault="00A62217" w:rsidP="00A57AED">
            <w:pPr>
              <w:contextualSpacing/>
            </w:pPr>
            <w:r>
              <w:rPr>
                <w:rFonts w:cs="Arial"/>
                <w:szCs w:val="20"/>
              </w:rPr>
              <w:t>Kelly</w:t>
            </w:r>
          </w:p>
        </w:tc>
        <w:tc>
          <w:tcPr>
            <w:tcW w:w="1825" w:type="dxa"/>
            <w:vAlign w:val="center"/>
          </w:tcPr>
          <w:p w14:paraId="7B07A66B" w14:textId="77777777" w:rsidR="00A62217" w:rsidRPr="009610A4" w:rsidDel="00E3448D" w:rsidRDefault="00A62217" w:rsidP="00A57AED">
            <w:pPr>
              <w:contextualSpacing/>
            </w:pPr>
            <w:proofErr w:type="spellStart"/>
            <w:r>
              <w:rPr>
                <w:rFonts w:cs="Arial"/>
                <w:szCs w:val="20"/>
              </w:rPr>
              <w:t>Millerick</w:t>
            </w:r>
            <w:proofErr w:type="spellEnd"/>
          </w:p>
        </w:tc>
        <w:tc>
          <w:tcPr>
            <w:tcW w:w="3960" w:type="dxa"/>
          </w:tcPr>
          <w:p w14:paraId="6F8851AD" w14:textId="77777777" w:rsidR="00A62217" w:rsidRPr="009610A4" w:rsidDel="00E3448D" w:rsidRDefault="00A62217" w:rsidP="00A57AED">
            <w:pPr>
              <w:contextualSpacing/>
            </w:pPr>
            <w:proofErr w:type="spellStart"/>
            <w:r w:rsidRPr="00E52C9B">
              <w:t>AeroDynamics</w:t>
            </w:r>
            <w:proofErr w:type="spellEnd"/>
            <w:r w:rsidRPr="00E52C9B">
              <w:t xml:space="preserve"> Inc</w:t>
            </w:r>
            <w:r>
              <w:t>.</w:t>
            </w:r>
          </w:p>
        </w:tc>
        <w:tc>
          <w:tcPr>
            <w:tcW w:w="1775" w:type="dxa"/>
          </w:tcPr>
          <w:p w14:paraId="5BB24EF6" w14:textId="77777777" w:rsidR="00A62217" w:rsidRDefault="00A62217" w:rsidP="00A57AED">
            <w:pPr>
              <w:contextualSpacing/>
            </w:pPr>
          </w:p>
        </w:tc>
      </w:tr>
      <w:tr w:rsidR="00A62217" w:rsidRPr="009610A4" w:rsidDel="00E3448D" w14:paraId="1AE33AE1" w14:textId="77777777" w:rsidTr="0041651E">
        <w:tc>
          <w:tcPr>
            <w:tcW w:w="295" w:type="dxa"/>
          </w:tcPr>
          <w:p w14:paraId="31598222" w14:textId="77777777" w:rsidR="00A62217" w:rsidRDefault="00A62217" w:rsidP="00A57AED">
            <w:pPr>
              <w:contextualSpacing/>
            </w:pPr>
            <w:r>
              <w:t>*</w:t>
            </w:r>
          </w:p>
        </w:tc>
        <w:tc>
          <w:tcPr>
            <w:tcW w:w="1793" w:type="dxa"/>
            <w:vAlign w:val="center"/>
          </w:tcPr>
          <w:p w14:paraId="51E231BC" w14:textId="77777777" w:rsidR="00A62217" w:rsidRPr="009610A4" w:rsidDel="00E3448D" w:rsidRDefault="00A62217" w:rsidP="00A57AED">
            <w:pPr>
              <w:contextualSpacing/>
            </w:pPr>
            <w:r>
              <w:rPr>
                <w:rFonts w:cs="Arial"/>
                <w:color w:val="000000"/>
                <w:szCs w:val="20"/>
              </w:rPr>
              <w:t>Julie</w:t>
            </w:r>
          </w:p>
        </w:tc>
        <w:tc>
          <w:tcPr>
            <w:tcW w:w="1825" w:type="dxa"/>
            <w:vAlign w:val="center"/>
          </w:tcPr>
          <w:p w14:paraId="6D9ADBE6" w14:textId="77777777" w:rsidR="00A62217" w:rsidRPr="009610A4" w:rsidDel="00E3448D" w:rsidRDefault="00A62217" w:rsidP="00A57AED">
            <w:pPr>
              <w:contextualSpacing/>
            </w:pPr>
            <w:r>
              <w:rPr>
                <w:rFonts w:cs="Arial"/>
                <w:color w:val="000000"/>
                <w:szCs w:val="20"/>
              </w:rPr>
              <w:t>Nguyen</w:t>
            </w:r>
          </w:p>
        </w:tc>
        <w:tc>
          <w:tcPr>
            <w:tcW w:w="3960" w:type="dxa"/>
          </w:tcPr>
          <w:p w14:paraId="68F30841" w14:textId="77777777" w:rsidR="00A62217" w:rsidRPr="009610A4" w:rsidDel="00E3448D" w:rsidRDefault="00A62217" w:rsidP="00A57AED">
            <w:pPr>
              <w:contextualSpacing/>
            </w:pPr>
            <w:r w:rsidRPr="00E52C9B">
              <w:t>Element Materials Technology</w:t>
            </w:r>
          </w:p>
        </w:tc>
        <w:tc>
          <w:tcPr>
            <w:tcW w:w="1775" w:type="dxa"/>
          </w:tcPr>
          <w:p w14:paraId="4E908FA3" w14:textId="77777777" w:rsidR="00A62217" w:rsidRDefault="00A62217" w:rsidP="00A57AED">
            <w:pPr>
              <w:contextualSpacing/>
            </w:pPr>
          </w:p>
        </w:tc>
      </w:tr>
      <w:tr w:rsidR="00A62217" w:rsidRPr="009610A4" w:rsidDel="00E3448D" w14:paraId="06595551" w14:textId="77777777" w:rsidTr="0041651E">
        <w:tc>
          <w:tcPr>
            <w:tcW w:w="295" w:type="dxa"/>
          </w:tcPr>
          <w:p w14:paraId="1A569B56" w14:textId="77777777" w:rsidR="00A62217" w:rsidRDefault="00A62217" w:rsidP="00A57AED">
            <w:pPr>
              <w:contextualSpacing/>
            </w:pPr>
          </w:p>
        </w:tc>
        <w:tc>
          <w:tcPr>
            <w:tcW w:w="1793" w:type="dxa"/>
            <w:vAlign w:val="center"/>
          </w:tcPr>
          <w:p w14:paraId="079204AB" w14:textId="77777777" w:rsidR="00A62217" w:rsidRPr="009610A4" w:rsidDel="00E3448D" w:rsidRDefault="00A62217" w:rsidP="00A57AED">
            <w:pPr>
              <w:contextualSpacing/>
            </w:pPr>
            <w:proofErr w:type="spellStart"/>
            <w:r>
              <w:rPr>
                <w:rFonts w:cs="Arial"/>
                <w:color w:val="000000"/>
                <w:szCs w:val="20"/>
              </w:rPr>
              <w:t>Justyna</w:t>
            </w:r>
            <w:proofErr w:type="spellEnd"/>
          </w:p>
        </w:tc>
        <w:tc>
          <w:tcPr>
            <w:tcW w:w="1825" w:type="dxa"/>
            <w:vAlign w:val="center"/>
          </w:tcPr>
          <w:p w14:paraId="07C9C01C" w14:textId="77777777" w:rsidR="00A62217" w:rsidRPr="009610A4" w:rsidDel="00E3448D" w:rsidRDefault="00A62217" w:rsidP="00A57AED">
            <w:pPr>
              <w:contextualSpacing/>
            </w:pPr>
            <w:proofErr w:type="spellStart"/>
            <w:r>
              <w:rPr>
                <w:rFonts w:cs="Arial"/>
                <w:color w:val="000000"/>
                <w:szCs w:val="20"/>
              </w:rPr>
              <w:t>Nieckarz</w:t>
            </w:r>
            <w:proofErr w:type="spellEnd"/>
          </w:p>
        </w:tc>
        <w:tc>
          <w:tcPr>
            <w:tcW w:w="3960" w:type="dxa"/>
          </w:tcPr>
          <w:p w14:paraId="61DB972F" w14:textId="77777777" w:rsidR="00A62217" w:rsidRPr="009610A4" w:rsidDel="00E3448D" w:rsidRDefault="00A62217" w:rsidP="00A57AED">
            <w:pPr>
              <w:contextualSpacing/>
            </w:pPr>
            <w:proofErr w:type="spellStart"/>
            <w:r w:rsidRPr="00E52C9B">
              <w:t>Polskie</w:t>
            </w:r>
            <w:proofErr w:type="spellEnd"/>
            <w:r w:rsidRPr="00E52C9B">
              <w:t xml:space="preserve"> </w:t>
            </w:r>
            <w:proofErr w:type="spellStart"/>
            <w:r w:rsidRPr="00E52C9B">
              <w:t>Zaklady</w:t>
            </w:r>
            <w:proofErr w:type="spellEnd"/>
            <w:r w:rsidRPr="00E52C9B">
              <w:t xml:space="preserve"> </w:t>
            </w:r>
            <w:proofErr w:type="spellStart"/>
            <w:r w:rsidRPr="00E52C9B">
              <w:t>Lotnicze</w:t>
            </w:r>
            <w:proofErr w:type="spellEnd"/>
            <w:r w:rsidRPr="00E52C9B">
              <w:t xml:space="preserve"> Sp. z </w:t>
            </w:r>
            <w:proofErr w:type="spellStart"/>
            <w:r w:rsidRPr="00E52C9B">
              <w:t>o.o</w:t>
            </w:r>
            <w:proofErr w:type="spellEnd"/>
            <w:r w:rsidRPr="00E52C9B">
              <w:t>.</w:t>
            </w:r>
          </w:p>
        </w:tc>
        <w:tc>
          <w:tcPr>
            <w:tcW w:w="1775" w:type="dxa"/>
          </w:tcPr>
          <w:p w14:paraId="4043DBF0" w14:textId="77777777" w:rsidR="00A62217" w:rsidRDefault="00A62217" w:rsidP="00A57AED">
            <w:pPr>
              <w:contextualSpacing/>
            </w:pPr>
          </w:p>
        </w:tc>
      </w:tr>
      <w:tr w:rsidR="00A62217" w:rsidRPr="009610A4" w:rsidDel="00E3448D" w14:paraId="0DE80C9B" w14:textId="77777777" w:rsidTr="0041651E">
        <w:tc>
          <w:tcPr>
            <w:tcW w:w="295" w:type="dxa"/>
          </w:tcPr>
          <w:p w14:paraId="2C2AB0B6" w14:textId="77777777" w:rsidR="00A62217" w:rsidRDefault="00A62217" w:rsidP="00A57AED">
            <w:pPr>
              <w:contextualSpacing/>
            </w:pPr>
            <w:r>
              <w:t>*</w:t>
            </w:r>
          </w:p>
        </w:tc>
        <w:tc>
          <w:tcPr>
            <w:tcW w:w="1793" w:type="dxa"/>
            <w:vAlign w:val="center"/>
          </w:tcPr>
          <w:p w14:paraId="7CC9F700" w14:textId="77777777" w:rsidR="00A62217" w:rsidRPr="009610A4" w:rsidDel="00E3448D" w:rsidRDefault="00A62217" w:rsidP="00A57AED">
            <w:pPr>
              <w:contextualSpacing/>
            </w:pPr>
            <w:r>
              <w:rPr>
                <w:rFonts w:cs="Arial"/>
                <w:color w:val="000000"/>
                <w:szCs w:val="20"/>
              </w:rPr>
              <w:t>Mike</w:t>
            </w:r>
          </w:p>
        </w:tc>
        <w:tc>
          <w:tcPr>
            <w:tcW w:w="1825" w:type="dxa"/>
            <w:vAlign w:val="center"/>
          </w:tcPr>
          <w:p w14:paraId="6B15C6BD" w14:textId="77777777" w:rsidR="00A62217" w:rsidRPr="009610A4" w:rsidDel="00E3448D" w:rsidRDefault="00A62217" w:rsidP="00A57AED">
            <w:pPr>
              <w:contextualSpacing/>
            </w:pPr>
            <w:proofErr w:type="spellStart"/>
            <w:r>
              <w:rPr>
                <w:rFonts w:cs="Arial"/>
                <w:color w:val="000000"/>
                <w:szCs w:val="20"/>
              </w:rPr>
              <w:t>Noettl</w:t>
            </w:r>
            <w:proofErr w:type="spellEnd"/>
          </w:p>
        </w:tc>
        <w:tc>
          <w:tcPr>
            <w:tcW w:w="3960" w:type="dxa"/>
          </w:tcPr>
          <w:p w14:paraId="3D7637B9" w14:textId="77777777" w:rsidR="00A62217" w:rsidRPr="009610A4" w:rsidDel="00E3448D" w:rsidRDefault="00A62217" w:rsidP="00A57AED">
            <w:pPr>
              <w:contextualSpacing/>
            </w:pPr>
            <w:r w:rsidRPr="00E52C9B">
              <w:t>Magnetic Inspection Laboratory Inc.</w:t>
            </w:r>
          </w:p>
        </w:tc>
        <w:tc>
          <w:tcPr>
            <w:tcW w:w="1775" w:type="dxa"/>
          </w:tcPr>
          <w:p w14:paraId="7B447FCE" w14:textId="77777777" w:rsidR="00A62217" w:rsidRDefault="00A62217" w:rsidP="00A57AED">
            <w:pPr>
              <w:contextualSpacing/>
            </w:pPr>
          </w:p>
        </w:tc>
      </w:tr>
      <w:tr w:rsidR="00A62217" w:rsidRPr="009610A4" w:rsidDel="00E3448D" w14:paraId="49099AE4" w14:textId="77777777" w:rsidTr="0041651E">
        <w:tc>
          <w:tcPr>
            <w:tcW w:w="295" w:type="dxa"/>
          </w:tcPr>
          <w:p w14:paraId="1A385913" w14:textId="77777777" w:rsidR="00A62217" w:rsidRDefault="00A62217" w:rsidP="00A57AED">
            <w:pPr>
              <w:contextualSpacing/>
            </w:pPr>
          </w:p>
        </w:tc>
        <w:tc>
          <w:tcPr>
            <w:tcW w:w="1793" w:type="dxa"/>
            <w:vAlign w:val="center"/>
          </w:tcPr>
          <w:p w14:paraId="7EBDDB4E" w14:textId="77777777" w:rsidR="00A62217" w:rsidRPr="009610A4" w:rsidDel="00E3448D" w:rsidRDefault="00A62217" w:rsidP="00A57AED">
            <w:pPr>
              <w:contextualSpacing/>
            </w:pPr>
            <w:r>
              <w:rPr>
                <w:rFonts w:cs="Arial"/>
                <w:color w:val="000000"/>
                <w:szCs w:val="20"/>
              </w:rPr>
              <w:t>Patricia</w:t>
            </w:r>
          </w:p>
        </w:tc>
        <w:tc>
          <w:tcPr>
            <w:tcW w:w="1825" w:type="dxa"/>
            <w:vAlign w:val="center"/>
          </w:tcPr>
          <w:p w14:paraId="54934262" w14:textId="77777777" w:rsidR="00A62217" w:rsidRPr="009610A4" w:rsidDel="00E3448D" w:rsidRDefault="00A62217" w:rsidP="00A57AED">
            <w:pPr>
              <w:contextualSpacing/>
            </w:pPr>
            <w:proofErr w:type="spellStart"/>
            <w:r>
              <w:rPr>
                <w:rFonts w:cs="Arial"/>
                <w:color w:val="000000"/>
                <w:szCs w:val="20"/>
              </w:rPr>
              <w:t>Noettl</w:t>
            </w:r>
            <w:proofErr w:type="spellEnd"/>
          </w:p>
        </w:tc>
        <w:tc>
          <w:tcPr>
            <w:tcW w:w="3960" w:type="dxa"/>
          </w:tcPr>
          <w:p w14:paraId="30669DF7" w14:textId="77777777" w:rsidR="00A62217" w:rsidRPr="009610A4" w:rsidDel="00E3448D" w:rsidRDefault="00A62217" w:rsidP="00A57AED">
            <w:pPr>
              <w:contextualSpacing/>
            </w:pPr>
            <w:r w:rsidRPr="00E52C9B">
              <w:t>Magnetic Inspection Laboratory Inc.</w:t>
            </w:r>
          </w:p>
        </w:tc>
        <w:tc>
          <w:tcPr>
            <w:tcW w:w="1775" w:type="dxa"/>
          </w:tcPr>
          <w:p w14:paraId="6BC6E9F0" w14:textId="77777777" w:rsidR="00A62217" w:rsidRDefault="00A62217" w:rsidP="00A57AED">
            <w:pPr>
              <w:contextualSpacing/>
            </w:pPr>
          </w:p>
        </w:tc>
      </w:tr>
      <w:tr w:rsidR="00A62217" w:rsidRPr="009610A4" w:rsidDel="00E3448D" w14:paraId="378FCDD4" w14:textId="77777777" w:rsidTr="0041651E">
        <w:tc>
          <w:tcPr>
            <w:tcW w:w="295" w:type="dxa"/>
          </w:tcPr>
          <w:p w14:paraId="1087FCAA" w14:textId="77777777" w:rsidR="00A62217" w:rsidRDefault="00A62217" w:rsidP="00A57AED">
            <w:pPr>
              <w:contextualSpacing/>
            </w:pPr>
          </w:p>
        </w:tc>
        <w:tc>
          <w:tcPr>
            <w:tcW w:w="1793" w:type="dxa"/>
            <w:vAlign w:val="center"/>
          </w:tcPr>
          <w:p w14:paraId="4BF4C572" w14:textId="77777777" w:rsidR="00A62217" w:rsidRPr="009610A4" w:rsidDel="00E3448D" w:rsidRDefault="00A62217" w:rsidP="00A57AED">
            <w:pPr>
              <w:contextualSpacing/>
            </w:pPr>
            <w:r>
              <w:rPr>
                <w:rFonts w:cs="Arial"/>
                <w:color w:val="000000"/>
                <w:szCs w:val="20"/>
              </w:rPr>
              <w:t>Patrick</w:t>
            </w:r>
          </w:p>
        </w:tc>
        <w:tc>
          <w:tcPr>
            <w:tcW w:w="1825" w:type="dxa"/>
            <w:vAlign w:val="center"/>
          </w:tcPr>
          <w:p w14:paraId="08478F64" w14:textId="77777777" w:rsidR="00A62217" w:rsidRPr="009610A4" w:rsidDel="00E3448D" w:rsidRDefault="00A62217" w:rsidP="00A57AED">
            <w:pPr>
              <w:contextualSpacing/>
            </w:pPr>
            <w:r>
              <w:rPr>
                <w:rFonts w:cs="Arial"/>
                <w:color w:val="000000"/>
                <w:szCs w:val="20"/>
              </w:rPr>
              <w:t>O'Leary</w:t>
            </w:r>
          </w:p>
        </w:tc>
        <w:tc>
          <w:tcPr>
            <w:tcW w:w="3960" w:type="dxa"/>
          </w:tcPr>
          <w:p w14:paraId="3C54B529" w14:textId="77777777" w:rsidR="00A62217" w:rsidRPr="009610A4" w:rsidDel="00E3448D" w:rsidRDefault="00A62217" w:rsidP="00A57AED">
            <w:pPr>
              <w:contextualSpacing/>
            </w:pPr>
            <w:r w:rsidRPr="00E52C9B">
              <w:t>NU-PRO Ltd</w:t>
            </w:r>
          </w:p>
        </w:tc>
        <w:tc>
          <w:tcPr>
            <w:tcW w:w="1775" w:type="dxa"/>
          </w:tcPr>
          <w:p w14:paraId="18B6CAD3" w14:textId="77777777" w:rsidR="00A62217" w:rsidRDefault="00A62217" w:rsidP="00A57AED">
            <w:pPr>
              <w:contextualSpacing/>
            </w:pPr>
          </w:p>
        </w:tc>
      </w:tr>
      <w:tr w:rsidR="00A62217" w:rsidRPr="009610A4" w:rsidDel="00E3448D" w14:paraId="2528E473" w14:textId="77777777" w:rsidTr="0041651E">
        <w:tc>
          <w:tcPr>
            <w:tcW w:w="295" w:type="dxa"/>
          </w:tcPr>
          <w:p w14:paraId="22D81B4E" w14:textId="77777777" w:rsidR="00A62217" w:rsidRDefault="00A62217" w:rsidP="00A57AED">
            <w:pPr>
              <w:contextualSpacing/>
            </w:pPr>
            <w:r>
              <w:t>*</w:t>
            </w:r>
          </w:p>
        </w:tc>
        <w:tc>
          <w:tcPr>
            <w:tcW w:w="1793" w:type="dxa"/>
            <w:vAlign w:val="center"/>
          </w:tcPr>
          <w:p w14:paraId="579C3848" w14:textId="77777777" w:rsidR="00A62217" w:rsidRPr="009610A4" w:rsidDel="00E3448D" w:rsidRDefault="00A62217" w:rsidP="00A57AED">
            <w:pPr>
              <w:contextualSpacing/>
            </w:pPr>
            <w:r>
              <w:rPr>
                <w:rFonts w:cs="Arial"/>
                <w:color w:val="000000"/>
                <w:szCs w:val="20"/>
              </w:rPr>
              <w:t>Dennis</w:t>
            </w:r>
          </w:p>
        </w:tc>
        <w:tc>
          <w:tcPr>
            <w:tcW w:w="1825" w:type="dxa"/>
            <w:vAlign w:val="center"/>
          </w:tcPr>
          <w:p w14:paraId="1F27FDCC" w14:textId="77777777" w:rsidR="00A62217" w:rsidRPr="009610A4" w:rsidDel="00E3448D" w:rsidRDefault="00A62217" w:rsidP="00A57AED">
            <w:pPr>
              <w:contextualSpacing/>
            </w:pPr>
            <w:r>
              <w:rPr>
                <w:rFonts w:cs="Arial"/>
                <w:color w:val="000000"/>
                <w:szCs w:val="20"/>
              </w:rPr>
              <w:t>Reidy</w:t>
            </w:r>
          </w:p>
        </w:tc>
        <w:tc>
          <w:tcPr>
            <w:tcW w:w="3960" w:type="dxa"/>
          </w:tcPr>
          <w:p w14:paraId="5C403434" w14:textId="77777777" w:rsidR="00A62217" w:rsidRPr="009610A4" w:rsidDel="00E3448D" w:rsidRDefault="00A62217" w:rsidP="00A57AED">
            <w:pPr>
              <w:contextualSpacing/>
            </w:pPr>
            <w:r w:rsidRPr="00E52C9B">
              <w:t>CIL</w:t>
            </w:r>
          </w:p>
        </w:tc>
        <w:tc>
          <w:tcPr>
            <w:tcW w:w="1775" w:type="dxa"/>
          </w:tcPr>
          <w:p w14:paraId="261F9877" w14:textId="77777777" w:rsidR="00A62217" w:rsidRDefault="00A62217" w:rsidP="00A57AED">
            <w:pPr>
              <w:contextualSpacing/>
            </w:pPr>
          </w:p>
        </w:tc>
      </w:tr>
      <w:tr w:rsidR="00A62217" w:rsidRPr="009610A4" w:rsidDel="00E3448D" w14:paraId="1913F39A" w14:textId="77777777" w:rsidTr="0041651E">
        <w:tc>
          <w:tcPr>
            <w:tcW w:w="295" w:type="dxa"/>
          </w:tcPr>
          <w:p w14:paraId="2CD0D3BD" w14:textId="77777777" w:rsidR="00A62217" w:rsidRDefault="00A62217" w:rsidP="00A57AED">
            <w:pPr>
              <w:contextualSpacing/>
            </w:pPr>
            <w:r>
              <w:t>*</w:t>
            </w:r>
          </w:p>
        </w:tc>
        <w:tc>
          <w:tcPr>
            <w:tcW w:w="1793" w:type="dxa"/>
            <w:vAlign w:val="center"/>
          </w:tcPr>
          <w:p w14:paraId="6257C9D5" w14:textId="77777777" w:rsidR="00A62217" w:rsidRPr="009610A4" w:rsidDel="00E3448D" w:rsidRDefault="00A62217" w:rsidP="00A57AED">
            <w:pPr>
              <w:contextualSpacing/>
            </w:pPr>
            <w:r>
              <w:rPr>
                <w:rFonts w:cs="Arial"/>
                <w:color w:val="000000"/>
                <w:szCs w:val="20"/>
              </w:rPr>
              <w:t>Tammi</w:t>
            </w:r>
          </w:p>
        </w:tc>
        <w:tc>
          <w:tcPr>
            <w:tcW w:w="1825" w:type="dxa"/>
            <w:vAlign w:val="center"/>
          </w:tcPr>
          <w:p w14:paraId="5CE6D7DA" w14:textId="77777777" w:rsidR="00A62217" w:rsidRPr="009610A4" w:rsidDel="00E3448D" w:rsidRDefault="00A62217" w:rsidP="00A57AED">
            <w:pPr>
              <w:contextualSpacing/>
            </w:pPr>
            <w:r>
              <w:rPr>
                <w:rFonts w:cs="Arial"/>
                <w:color w:val="000000"/>
                <w:szCs w:val="20"/>
              </w:rPr>
              <w:t>Schubert</w:t>
            </w:r>
          </w:p>
        </w:tc>
        <w:tc>
          <w:tcPr>
            <w:tcW w:w="3960" w:type="dxa"/>
          </w:tcPr>
          <w:p w14:paraId="1EF3C07B" w14:textId="77777777" w:rsidR="00A62217" w:rsidRPr="009610A4" w:rsidDel="00E3448D" w:rsidRDefault="00A62217" w:rsidP="00A57AED">
            <w:pPr>
              <w:contextualSpacing/>
            </w:pPr>
            <w:proofErr w:type="spellStart"/>
            <w:r w:rsidRPr="00E52C9B">
              <w:t>Helicomb</w:t>
            </w:r>
            <w:proofErr w:type="spellEnd"/>
            <w:r w:rsidRPr="00E52C9B">
              <w:t xml:space="preserve"> Intl. Inc.</w:t>
            </w:r>
          </w:p>
        </w:tc>
        <w:tc>
          <w:tcPr>
            <w:tcW w:w="1775" w:type="dxa"/>
          </w:tcPr>
          <w:p w14:paraId="082BF2F2" w14:textId="77777777" w:rsidR="00A62217" w:rsidRDefault="00A62217" w:rsidP="00A57AED">
            <w:pPr>
              <w:contextualSpacing/>
            </w:pPr>
          </w:p>
        </w:tc>
      </w:tr>
      <w:tr w:rsidR="00A62217" w:rsidRPr="009610A4" w:rsidDel="00E3448D" w14:paraId="51D4FA4E" w14:textId="77777777" w:rsidTr="00C86C9F">
        <w:tc>
          <w:tcPr>
            <w:tcW w:w="295" w:type="dxa"/>
          </w:tcPr>
          <w:p w14:paraId="2D750B93" w14:textId="77777777" w:rsidR="00A62217" w:rsidRDefault="00A62217" w:rsidP="00A57AED">
            <w:pPr>
              <w:contextualSpacing/>
            </w:pPr>
            <w:r>
              <w:t>*</w:t>
            </w:r>
          </w:p>
        </w:tc>
        <w:tc>
          <w:tcPr>
            <w:tcW w:w="1793" w:type="dxa"/>
          </w:tcPr>
          <w:p w14:paraId="7E49DBD1" w14:textId="77777777" w:rsidR="00A62217" w:rsidRPr="00D524F6" w:rsidRDefault="00A62217" w:rsidP="00A57AED">
            <w:pPr>
              <w:contextualSpacing/>
            </w:pPr>
            <w:r>
              <w:t>Dave</w:t>
            </w:r>
          </w:p>
        </w:tc>
        <w:tc>
          <w:tcPr>
            <w:tcW w:w="1825" w:type="dxa"/>
          </w:tcPr>
          <w:p w14:paraId="7282E3D3" w14:textId="77777777" w:rsidR="00A62217" w:rsidRPr="00D524F6" w:rsidRDefault="00A62217" w:rsidP="00A57AED">
            <w:pPr>
              <w:contextualSpacing/>
            </w:pPr>
            <w:proofErr w:type="spellStart"/>
            <w:r>
              <w:t>Serbousek</w:t>
            </w:r>
            <w:proofErr w:type="spellEnd"/>
          </w:p>
        </w:tc>
        <w:tc>
          <w:tcPr>
            <w:tcW w:w="3960" w:type="dxa"/>
          </w:tcPr>
          <w:p w14:paraId="226AFC15" w14:textId="77777777" w:rsidR="00A62217" w:rsidRPr="00E52C9B" w:rsidRDefault="00A62217" w:rsidP="00A57AED">
            <w:pPr>
              <w:contextualSpacing/>
            </w:pPr>
            <w:r w:rsidRPr="00203F18">
              <w:t xml:space="preserve">Olympic Scientific </w:t>
            </w:r>
            <w:proofErr w:type="spellStart"/>
            <w:r w:rsidRPr="00203F18">
              <w:t>Inc</w:t>
            </w:r>
            <w:proofErr w:type="spellEnd"/>
          </w:p>
        </w:tc>
        <w:tc>
          <w:tcPr>
            <w:tcW w:w="1775" w:type="dxa"/>
          </w:tcPr>
          <w:p w14:paraId="7D5570CA" w14:textId="77777777" w:rsidR="00A62217" w:rsidRDefault="00A62217" w:rsidP="00A57AED">
            <w:pPr>
              <w:contextualSpacing/>
            </w:pPr>
          </w:p>
        </w:tc>
      </w:tr>
      <w:tr w:rsidR="00A62217" w:rsidRPr="009610A4" w:rsidDel="00E3448D" w14:paraId="319D1396" w14:textId="77777777" w:rsidTr="0041651E">
        <w:tc>
          <w:tcPr>
            <w:tcW w:w="295" w:type="dxa"/>
          </w:tcPr>
          <w:p w14:paraId="7293652A" w14:textId="77777777" w:rsidR="00A62217" w:rsidRDefault="00A62217" w:rsidP="00A57AED">
            <w:pPr>
              <w:contextualSpacing/>
            </w:pPr>
          </w:p>
        </w:tc>
        <w:tc>
          <w:tcPr>
            <w:tcW w:w="1793" w:type="dxa"/>
            <w:vAlign w:val="center"/>
          </w:tcPr>
          <w:p w14:paraId="1B9CEC81" w14:textId="77777777" w:rsidR="00A62217" w:rsidRPr="009610A4" w:rsidDel="00E3448D" w:rsidRDefault="00A62217" w:rsidP="00A57AED">
            <w:pPr>
              <w:contextualSpacing/>
            </w:pPr>
            <w:r>
              <w:rPr>
                <w:rFonts w:cs="Arial"/>
                <w:color w:val="000000"/>
                <w:szCs w:val="20"/>
              </w:rPr>
              <w:t>David</w:t>
            </w:r>
          </w:p>
        </w:tc>
        <w:tc>
          <w:tcPr>
            <w:tcW w:w="1825" w:type="dxa"/>
            <w:vAlign w:val="center"/>
          </w:tcPr>
          <w:p w14:paraId="6E29C83C" w14:textId="77777777" w:rsidR="00A62217" w:rsidRPr="009610A4" w:rsidDel="00E3448D" w:rsidRDefault="00A62217" w:rsidP="00A57AED">
            <w:pPr>
              <w:contextualSpacing/>
            </w:pPr>
            <w:r>
              <w:rPr>
                <w:rFonts w:cs="Arial"/>
                <w:color w:val="000000"/>
                <w:szCs w:val="20"/>
              </w:rPr>
              <w:t>Sexton</w:t>
            </w:r>
          </w:p>
        </w:tc>
        <w:tc>
          <w:tcPr>
            <w:tcW w:w="3960" w:type="dxa"/>
          </w:tcPr>
          <w:p w14:paraId="53F3888D" w14:textId="77777777" w:rsidR="00A62217" w:rsidRPr="009610A4" w:rsidDel="00E3448D" w:rsidRDefault="00A62217" w:rsidP="00A57AED">
            <w:pPr>
              <w:contextualSpacing/>
            </w:pPr>
            <w:r w:rsidRPr="00E52C9B">
              <w:t>CERTIFIED METAL FINISHING, INC</w:t>
            </w:r>
          </w:p>
        </w:tc>
        <w:tc>
          <w:tcPr>
            <w:tcW w:w="1775" w:type="dxa"/>
          </w:tcPr>
          <w:p w14:paraId="40CA72A6" w14:textId="77777777" w:rsidR="00A62217" w:rsidRDefault="00A62217" w:rsidP="00A57AED">
            <w:pPr>
              <w:contextualSpacing/>
            </w:pPr>
          </w:p>
        </w:tc>
      </w:tr>
      <w:tr w:rsidR="00A62217" w:rsidRPr="009610A4" w:rsidDel="00E3448D" w14:paraId="33D8BDBA" w14:textId="77777777" w:rsidTr="0041651E">
        <w:tc>
          <w:tcPr>
            <w:tcW w:w="295" w:type="dxa"/>
          </w:tcPr>
          <w:p w14:paraId="72052DB1" w14:textId="77777777" w:rsidR="00A62217" w:rsidRDefault="00A62217" w:rsidP="00A57AED">
            <w:pPr>
              <w:contextualSpacing/>
            </w:pPr>
            <w:r>
              <w:t>*</w:t>
            </w:r>
          </w:p>
        </w:tc>
        <w:tc>
          <w:tcPr>
            <w:tcW w:w="1793" w:type="dxa"/>
            <w:vAlign w:val="center"/>
          </w:tcPr>
          <w:p w14:paraId="4BB6D516" w14:textId="77777777" w:rsidR="00A62217" w:rsidRPr="009610A4" w:rsidDel="00E3448D" w:rsidRDefault="00A62217" w:rsidP="00A57AED">
            <w:pPr>
              <w:contextualSpacing/>
            </w:pPr>
            <w:r>
              <w:rPr>
                <w:rFonts w:cs="Arial"/>
                <w:color w:val="000000"/>
                <w:szCs w:val="20"/>
              </w:rPr>
              <w:t>Bernd</w:t>
            </w:r>
          </w:p>
        </w:tc>
        <w:tc>
          <w:tcPr>
            <w:tcW w:w="1825" w:type="dxa"/>
            <w:vAlign w:val="center"/>
          </w:tcPr>
          <w:p w14:paraId="40199B83" w14:textId="77777777" w:rsidR="00A62217" w:rsidRPr="009610A4" w:rsidDel="00E3448D" w:rsidRDefault="00A62217" w:rsidP="00A57AED">
            <w:pPr>
              <w:contextualSpacing/>
            </w:pPr>
            <w:proofErr w:type="spellStart"/>
            <w:r>
              <w:rPr>
                <w:rFonts w:cs="Arial"/>
                <w:color w:val="000000"/>
                <w:szCs w:val="20"/>
              </w:rPr>
              <w:t>Spelsberg</w:t>
            </w:r>
            <w:proofErr w:type="spellEnd"/>
          </w:p>
        </w:tc>
        <w:tc>
          <w:tcPr>
            <w:tcW w:w="3960" w:type="dxa"/>
          </w:tcPr>
          <w:p w14:paraId="316FC75C" w14:textId="77777777" w:rsidR="00A62217" w:rsidRPr="009610A4" w:rsidDel="00E3448D" w:rsidRDefault="00A62217" w:rsidP="00A57AED">
            <w:pPr>
              <w:contextualSpacing/>
            </w:pPr>
            <w:r w:rsidRPr="00E52C9B">
              <w:t>Otto Fuchs KG</w:t>
            </w:r>
          </w:p>
        </w:tc>
        <w:tc>
          <w:tcPr>
            <w:tcW w:w="1775" w:type="dxa"/>
          </w:tcPr>
          <w:p w14:paraId="283FD4F0" w14:textId="77777777" w:rsidR="00A62217" w:rsidRDefault="00A62217" w:rsidP="00A57AED">
            <w:pPr>
              <w:contextualSpacing/>
            </w:pPr>
          </w:p>
        </w:tc>
      </w:tr>
      <w:tr w:rsidR="00A62217" w:rsidRPr="009610A4" w:rsidDel="00E3448D" w14:paraId="238315F8" w14:textId="77777777" w:rsidTr="0041651E">
        <w:tc>
          <w:tcPr>
            <w:tcW w:w="295" w:type="dxa"/>
          </w:tcPr>
          <w:p w14:paraId="1CF34770" w14:textId="77777777" w:rsidR="00A62217" w:rsidRDefault="00A62217" w:rsidP="00A57AED">
            <w:pPr>
              <w:contextualSpacing/>
            </w:pPr>
          </w:p>
        </w:tc>
        <w:tc>
          <w:tcPr>
            <w:tcW w:w="1793" w:type="dxa"/>
            <w:vAlign w:val="center"/>
          </w:tcPr>
          <w:p w14:paraId="3C085660" w14:textId="77777777" w:rsidR="00A62217" w:rsidRPr="009610A4" w:rsidDel="00E3448D" w:rsidRDefault="00A62217" w:rsidP="00A57AED">
            <w:pPr>
              <w:contextualSpacing/>
            </w:pPr>
            <w:proofErr w:type="spellStart"/>
            <w:r>
              <w:rPr>
                <w:rFonts w:cs="Arial"/>
                <w:color w:val="000000"/>
                <w:szCs w:val="20"/>
              </w:rPr>
              <w:t>Dariusz</w:t>
            </w:r>
            <w:proofErr w:type="spellEnd"/>
          </w:p>
        </w:tc>
        <w:tc>
          <w:tcPr>
            <w:tcW w:w="1825" w:type="dxa"/>
            <w:vAlign w:val="center"/>
          </w:tcPr>
          <w:p w14:paraId="26E66DAE" w14:textId="77777777" w:rsidR="00A62217" w:rsidRPr="009610A4" w:rsidDel="00E3448D" w:rsidRDefault="00A62217" w:rsidP="00A57AED">
            <w:pPr>
              <w:contextualSpacing/>
            </w:pPr>
            <w:proofErr w:type="spellStart"/>
            <w:r>
              <w:rPr>
                <w:rFonts w:cs="Arial"/>
                <w:color w:val="000000"/>
                <w:szCs w:val="20"/>
              </w:rPr>
              <w:t>Stepien</w:t>
            </w:r>
            <w:proofErr w:type="spellEnd"/>
          </w:p>
        </w:tc>
        <w:tc>
          <w:tcPr>
            <w:tcW w:w="3960" w:type="dxa"/>
          </w:tcPr>
          <w:p w14:paraId="710A66A7" w14:textId="77777777" w:rsidR="00A62217" w:rsidRPr="009610A4" w:rsidDel="00E3448D" w:rsidRDefault="00A62217" w:rsidP="00A57AED">
            <w:pPr>
              <w:contextualSpacing/>
            </w:pPr>
            <w:r w:rsidRPr="00E52C9B">
              <w:t xml:space="preserve">ATI Forged Products - </w:t>
            </w:r>
            <w:proofErr w:type="spellStart"/>
            <w:r w:rsidRPr="00E52C9B">
              <w:t>Stalowa</w:t>
            </w:r>
            <w:proofErr w:type="spellEnd"/>
            <w:r w:rsidRPr="00E52C9B">
              <w:t xml:space="preserve"> </w:t>
            </w:r>
            <w:proofErr w:type="spellStart"/>
            <w:r w:rsidRPr="00E52C9B">
              <w:t>Wola</w:t>
            </w:r>
            <w:proofErr w:type="spellEnd"/>
            <w:r w:rsidRPr="00E52C9B">
              <w:t xml:space="preserve"> Operations</w:t>
            </w:r>
          </w:p>
        </w:tc>
        <w:tc>
          <w:tcPr>
            <w:tcW w:w="1775" w:type="dxa"/>
          </w:tcPr>
          <w:p w14:paraId="37110895" w14:textId="77777777" w:rsidR="00A62217" w:rsidRDefault="00A62217" w:rsidP="00A57AED">
            <w:pPr>
              <w:contextualSpacing/>
            </w:pPr>
          </w:p>
        </w:tc>
      </w:tr>
      <w:tr w:rsidR="00A62217" w:rsidRPr="009610A4" w:rsidDel="00E3448D" w14:paraId="329DFDAB" w14:textId="77777777" w:rsidTr="0041651E">
        <w:tc>
          <w:tcPr>
            <w:tcW w:w="295" w:type="dxa"/>
          </w:tcPr>
          <w:p w14:paraId="76EE9CC3" w14:textId="77777777" w:rsidR="00A62217" w:rsidRDefault="00A62217" w:rsidP="00A57AED">
            <w:pPr>
              <w:contextualSpacing/>
            </w:pPr>
          </w:p>
        </w:tc>
        <w:tc>
          <w:tcPr>
            <w:tcW w:w="1793" w:type="dxa"/>
            <w:vAlign w:val="center"/>
          </w:tcPr>
          <w:p w14:paraId="3B00E498" w14:textId="77777777" w:rsidR="00A62217" w:rsidRPr="009610A4" w:rsidDel="00E3448D" w:rsidRDefault="00A62217" w:rsidP="00A57AED">
            <w:pPr>
              <w:contextualSpacing/>
            </w:pPr>
            <w:proofErr w:type="spellStart"/>
            <w:r>
              <w:rPr>
                <w:rFonts w:cs="Arial"/>
                <w:color w:val="000000"/>
                <w:szCs w:val="20"/>
              </w:rPr>
              <w:t>Patrycja</w:t>
            </w:r>
            <w:proofErr w:type="spellEnd"/>
          </w:p>
        </w:tc>
        <w:tc>
          <w:tcPr>
            <w:tcW w:w="1825" w:type="dxa"/>
            <w:vAlign w:val="center"/>
          </w:tcPr>
          <w:p w14:paraId="2C4E6985" w14:textId="77777777" w:rsidR="00A62217" w:rsidRPr="009610A4" w:rsidDel="00E3448D" w:rsidRDefault="00A62217" w:rsidP="00A57AED">
            <w:pPr>
              <w:contextualSpacing/>
            </w:pPr>
            <w:proofErr w:type="spellStart"/>
            <w:r>
              <w:rPr>
                <w:rFonts w:cs="Arial"/>
                <w:color w:val="000000"/>
                <w:szCs w:val="20"/>
              </w:rPr>
              <w:t>Surdej</w:t>
            </w:r>
            <w:proofErr w:type="spellEnd"/>
          </w:p>
        </w:tc>
        <w:tc>
          <w:tcPr>
            <w:tcW w:w="3960" w:type="dxa"/>
          </w:tcPr>
          <w:p w14:paraId="5732E609" w14:textId="77777777" w:rsidR="00A62217" w:rsidRPr="009610A4" w:rsidDel="00E3448D" w:rsidRDefault="00A62217" w:rsidP="00A57AED">
            <w:pPr>
              <w:contextualSpacing/>
            </w:pPr>
            <w:proofErr w:type="spellStart"/>
            <w:r w:rsidRPr="00E52C9B">
              <w:t>Polskie</w:t>
            </w:r>
            <w:proofErr w:type="spellEnd"/>
            <w:r w:rsidRPr="00E52C9B">
              <w:t xml:space="preserve"> </w:t>
            </w:r>
            <w:proofErr w:type="spellStart"/>
            <w:r w:rsidRPr="00E52C9B">
              <w:t>Zaklady</w:t>
            </w:r>
            <w:proofErr w:type="spellEnd"/>
            <w:r w:rsidRPr="00E52C9B">
              <w:t xml:space="preserve"> </w:t>
            </w:r>
            <w:proofErr w:type="spellStart"/>
            <w:r w:rsidRPr="00E52C9B">
              <w:t>Lotnicze</w:t>
            </w:r>
            <w:proofErr w:type="spellEnd"/>
            <w:r w:rsidRPr="00E52C9B">
              <w:t xml:space="preserve"> Sp. z o. o.</w:t>
            </w:r>
          </w:p>
        </w:tc>
        <w:tc>
          <w:tcPr>
            <w:tcW w:w="1775" w:type="dxa"/>
          </w:tcPr>
          <w:p w14:paraId="56AFD57D" w14:textId="77777777" w:rsidR="00A62217" w:rsidRDefault="00A62217" w:rsidP="00A57AED">
            <w:pPr>
              <w:contextualSpacing/>
            </w:pPr>
          </w:p>
        </w:tc>
      </w:tr>
      <w:tr w:rsidR="00A62217" w:rsidRPr="009610A4" w:rsidDel="00E3448D" w14:paraId="7DA0239A" w14:textId="77777777" w:rsidTr="00C86C9F">
        <w:tc>
          <w:tcPr>
            <w:tcW w:w="295" w:type="dxa"/>
          </w:tcPr>
          <w:p w14:paraId="72195A1E" w14:textId="77777777" w:rsidR="00A62217" w:rsidRDefault="00A62217" w:rsidP="00A57AED">
            <w:pPr>
              <w:contextualSpacing/>
            </w:pPr>
          </w:p>
        </w:tc>
        <w:tc>
          <w:tcPr>
            <w:tcW w:w="1793" w:type="dxa"/>
          </w:tcPr>
          <w:p w14:paraId="51A3184C" w14:textId="77777777" w:rsidR="00A62217" w:rsidRPr="009610A4" w:rsidDel="00E3448D" w:rsidRDefault="00A62217" w:rsidP="00A57AED">
            <w:pPr>
              <w:contextualSpacing/>
            </w:pPr>
            <w:r w:rsidRPr="00D524F6">
              <w:t>Gary</w:t>
            </w:r>
          </w:p>
        </w:tc>
        <w:tc>
          <w:tcPr>
            <w:tcW w:w="1825" w:type="dxa"/>
          </w:tcPr>
          <w:p w14:paraId="78E80EEC" w14:textId="77777777" w:rsidR="00A62217" w:rsidRPr="009610A4" w:rsidDel="00E3448D" w:rsidRDefault="00A62217" w:rsidP="00A57AED">
            <w:pPr>
              <w:contextualSpacing/>
            </w:pPr>
            <w:r w:rsidRPr="00D524F6">
              <w:t>Thompson</w:t>
            </w:r>
          </w:p>
        </w:tc>
        <w:tc>
          <w:tcPr>
            <w:tcW w:w="3960" w:type="dxa"/>
          </w:tcPr>
          <w:p w14:paraId="7991627A" w14:textId="77777777" w:rsidR="00A62217" w:rsidRPr="009610A4" w:rsidDel="00E3448D" w:rsidRDefault="00A62217" w:rsidP="00A57AED">
            <w:pPr>
              <w:contextualSpacing/>
            </w:pPr>
            <w:proofErr w:type="spellStart"/>
            <w:r w:rsidRPr="00E52C9B">
              <w:t>Esterline</w:t>
            </w:r>
            <w:proofErr w:type="spellEnd"/>
            <w:r w:rsidRPr="00E52C9B">
              <w:t xml:space="preserve"> Engineered Materials </w:t>
            </w:r>
            <w:proofErr w:type="spellStart"/>
            <w:r w:rsidRPr="00E52C9B">
              <w:t>Darchem</w:t>
            </w:r>
            <w:proofErr w:type="spellEnd"/>
            <w:r w:rsidRPr="00E52C9B">
              <w:t xml:space="preserve"> Engineering</w:t>
            </w:r>
          </w:p>
        </w:tc>
        <w:tc>
          <w:tcPr>
            <w:tcW w:w="1775" w:type="dxa"/>
          </w:tcPr>
          <w:p w14:paraId="597BCE24" w14:textId="77777777" w:rsidR="00A62217" w:rsidRDefault="00A62217" w:rsidP="00A57AED">
            <w:pPr>
              <w:contextualSpacing/>
            </w:pPr>
          </w:p>
        </w:tc>
      </w:tr>
      <w:tr w:rsidR="00A62217" w:rsidRPr="009610A4" w:rsidDel="00E3448D" w14:paraId="6CAFD034" w14:textId="77777777" w:rsidTr="00C86C9F">
        <w:tc>
          <w:tcPr>
            <w:tcW w:w="295" w:type="dxa"/>
          </w:tcPr>
          <w:p w14:paraId="0382B3B3" w14:textId="77777777" w:rsidR="00A62217" w:rsidRDefault="00A62217" w:rsidP="00A57AED">
            <w:pPr>
              <w:contextualSpacing/>
            </w:pPr>
          </w:p>
        </w:tc>
        <w:tc>
          <w:tcPr>
            <w:tcW w:w="1793" w:type="dxa"/>
          </w:tcPr>
          <w:p w14:paraId="48348B1B" w14:textId="77777777" w:rsidR="00A62217" w:rsidRPr="009610A4" w:rsidDel="00E3448D" w:rsidRDefault="00A62217" w:rsidP="00A57AED">
            <w:pPr>
              <w:contextualSpacing/>
            </w:pPr>
            <w:r w:rsidRPr="00D524F6">
              <w:t>Fabrice</w:t>
            </w:r>
          </w:p>
        </w:tc>
        <w:tc>
          <w:tcPr>
            <w:tcW w:w="1825" w:type="dxa"/>
          </w:tcPr>
          <w:p w14:paraId="22C963AD" w14:textId="77777777" w:rsidR="00A62217" w:rsidRPr="009610A4" w:rsidDel="00E3448D" w:rsidRDefault="00A62217" w:rsidP="00A57AED">
            <w:pPr>
              <w:contextualSpacing/>
            </w:pPr>
            <w:proofErr w:type="spellStart"/>
            <w:r w:rsidRPr="00D524F6">
              <w:t>Virassamy</w:t>
            </w:r>
            <w:proofErr w:type="spellEnd"/>
          </w:p>
        </w:tc>
        <w:tc>
          <w:tcPr>
            <w:tcW w:w="3960" w:type="dxa"/>
          </w:tcPr>
          <w:p w14:paraId="2301A7A9" w14:textId="77777777" w:rsidR="00A62217" w:rsidRPr="009610A4" w:rsidDel="00E3448D" w:rsidRDefault="00A62217" w:rsidP="00A57AED">
            <w:pPr>
              <w:contextualSpacing/>
            </w:pPr>
            <w:r w:rsidRPr="00E52C9B">
              <w:t>LATECOERE</w:t>
            </w:r>
          </w:p>
        </w:tc>
        <w:tc>
          <w:tcPr>
            <w:tcW w:w="1775" w:type="dxa"/>
          </w:tcPr>
          <w:p w14:paraId="1189C0A2" w14:textId="77777777" w:rsidR="00A62217" w:rsidRDefault="00A62217" w:rsidP="00A57AED">
            <w:pPr>
              <w:contextualSpacing/>
            </w:pPr>
          </w:p>
        </w:tc>
      </w:tr>
      <w:tr w:rsidR="00A62217" w:rsidRPr="009610A4" w:rsidDel="00E3448D" w14:paraId="3EF1564A" w14:textId="77777777" w:rsidTr="00C86C9F">
        <w:tc>
          <w:tcPr>
            <w:tcW w:w="295" w:type="dxa"/>
          </w:tcPr>
          <w:p w14:paraId="2FD3546D" w14:textId="77777777" w:rsidR="00A62217" w:rsidRDefault="00A62217" w:rsidP="00A57AED">
            <w:pPr>
              <w:contextualSpacing/>
            </w:pPr>
            <w:r>
              <w:t>*</w:t>
            </w:r>
          </w:p>
        </w:tc>
        <w:tc>
          <w:tcPr>
            <w:tcW w:w="1793" w:type="dxa"/>
          </w:tcPr>
          <w:p w14:paraId="595AA50D" w14:textId="77777777" w:rsidR="00A62217" w:rsidRPr="009610A4" w:rsidDel="00E3448D" w:rsidRDefault="00A62217" w:rsidP="00A57AED">
            <w:pPr>
              <w:contextualSpacing/>
            </w:pPr>
            <w:r w:rsidRPr="00D524F6">
              <w:t>Jerry</w:t>
            </w:r>
          </w:p>
        </w:tc>
        <w:tc>
          <w:tcPr>
            <w:tcW w:w="1825" w:type="dxa"/>
          </w:tcPr>
          <w:p w14:paraId="057ABA32" w14:textId="77777777" w:rsidR="00A62217" w:rsidRPr="009610A4" w:rsidDel="00E3448D" w:rsidRDefault="00A62217" w:rsidP="00A57AED">
            <w:pPr>
              <w:contextualSpacing/>
            </w:pPr>
            <w:proofErr w:type="spellStart"/>
            <w:r w:rsidRPr="00D524F6">
              <w:t>Wahlin</w:t>
            </w:r>
            <w:proofErr w:type="spellEnd"/>
          </w:p>
        </w:tc>
        <w:tc>
          <w:tcPr>
            <w:tcW w:w="3960" w:type="dxa"/>
          </w:tcPr>
          <w:p w14:paraId="5045B4CE" w14:textId="77777777" w:rsidR="00A62217" w:rsidRPr="009610A4" w:rsidDel="00E3448D" w:rsidRDefault="00A62217" w:rsidP="00A57AED">
            <w:pPr>
              <w:contextualSpacing/>
            </w:pPr>
            <w:r w:rsidRPr="00E52C9B">
              <w:t>AAA PLATING &amp; INSPECTION, INC.</w:t>
            </w:r>
          </w:p>
        </w:tc>
        <w:tc>
          <w:tcPr>
            <w:tcW w:w="1775" w:type="dxa"/>
          </w:tcPr>
          <w:p w14:paraId="1D3615DC" w14:textId="77777777" w:rsidR="00A62217" w:rsidRDefault="00A62217" w:rsidP="00A57AED">
            <w:pPr>
              <w:contextualSpacing/>
            </w:pPr>
          </w:p>
        </w:tc>
      </w:tr>
      <w:tr w:rsidR="00A62217" w:rsidRPr="009610A4" w:rsidDel="00E3448D" w14:paraId="4F277298" w14:textId="77777777" w:rsidTr="00C86C9F">
        <w:tc>
          <w:tcPr>
            <w:tcW w:w="295" w:type="dxa"/>
          </w:tcPr>
          <w:p w14:paraId="4B8825A8" w14:textId="77777777" w:rsidR="00A62217" w:rsidRDefault="00A62217" w:rsidP="00A57AED">
            <w:pPr>
              <w:contextualSpacing/>
            </w:pPr>
          </w:p>
        </w:tc>
        <w:tc>
          <w:tcPr>
            <w:tcW w:w="1793" w:type="dxa"/>
          </w:tcPr>
          <w:p w14:paraId="41197087" w14:textId="77777777" w:rsidR="00A62217" w:rsidRPr="009610A4" w:rsidDel="00E3448D" w:rsidRDefault="00A62217" w:rsidP="00A57AED">
            <w:pPr>
              <w:contextualSpacing/>
            </w:pPr>
            <w:proofErr w:type="spellStart"/>
            <w:r w:rsidRPr="00D524F6">
              <w:t>Wilfried</w:t>
            </w:r>
            <w:proofErr w:type="spellEnd"/>
          </w:p>
        </w:tc>
        <w:tc>
          <w:tcPr>
            <w:tcW w:w="1825" w:type="dxa"/>
          </w:tcPr>
          <w:p w14:paraId="07FEC45C" w14:textId="77777777" w:rsidR="00A62217" w:rsidRPr="009610A4" w:rsidDel="00E3448D" w:rsidRDefault="00A62217" w:rsidP="00A57AED">
            <w:pPr>
              <w:contextualSpacing/>
            </w:pPr>
            <w:r w:rsidRPr="00D524F6">
              <w:t>Weber</w:t>
            </w:r>
          </w:p>
        </w:tc>
        <w:tc>
          <w:tcPr>
            <w:tcW w:w="3960" w:type="dxa"/>
          </w:tcPr>
          <w:p w14:paraId="53BFC4AE" w14:textId="77777777" w:rsidR="00A62217" w:rsidRPr="009610A4" w:rsidDel="00E3448D" w:rsidRDefault="00A62217" w:rsidP="00A57AED">
            <w:pPr>
              <w:contextualSpacing/>
            </w:pPr>
            <w:r w:rsidRPr="00E52C9B">
              <w:t>PFW Aerospace GmbH</w:t>
            </w:r>
          </w:p>
        </w:tc>
        <w:tc>
          <w:tcPr>
            <w:tcW w:w="1775" w:type="dxa"/>
          </w:tcPr>
          <w:p w14:paraId="7EE91715" w14:textId="77777777" w:rsidR="00A62217" w:rsidRDefault="00A62217" w:rsidP="00A57AED">
            <w:pPr>
              <w:contextualSpacing/>
            </w:pPr>
          </w:p>
        </w:tc>
      </w:tr>
      <w:tr w:rsidR="00A62217" w:rsidRPr="009610A4" w:rsidDel="00E3448D" w14:paraId="1904529C" w14:textId="77777777" w:rsidTr="00C86C9F">
        <w:tc>
          <w:tcPr>
            <w:tcW w:w="295" w:type="dxa"/>
          </w:tcPr>
          <w:p w14:paraId="376415B3" w14:textId="77777777" w:rsidR="00A62217" w:rsidRDefault="00A62217" w:rsidP="00A57AED">
            <w:pPr>
              <w:contextualSpacing/>
            </w:pPr>
          </w:p>
        </w:tc>
        <w:tc>
          <w:tcPr>
            <w:tcW w:w="1793" w:type="dxa"/>
          </w:tcPr>
          <w:p w14:paraId="15A13DC2" w14:textId="77777777" w:rsidR="00A62217" w:rsidRPr="00D524F6" w:rsidRDefault="00A62217" w:rsidP="00A57AED">
            <w:pPr>
              <w:contextualSpacing/>
            </w:pPr>
            <w:proofErr w:type="spellStart"/>
            <w:r>
              <w:t>Bartosz</w:t>
            </w:r>
            <w:proofErr w:type="spellEnd"/>
          </w:p>
        </w:tc>
        <w:tc>
          <w:tcPr>
            <w:tcW w:w="1825" w:type="dxa"/>
          </w:tcPr>
          <w:p w14:paraId="65CB0B20" w14:textId="77777777" w:rsidR="00A62217" w:rsidRPr="00D524F6" w:rsidRDefault="00A62217" w:rsidP="00A57AED">
            <w:pPr>
              <w:contextualSpacing/>
            </w:pPr>
            <w:proofErr w:type="spellStart"/>
            <w:r>
              <w:t>Wojtczak</w:t>
            </w:r>
            <w:proofErr w:type="spellEnd"/>
          </w:p>
        </w:tc>
        <w:tc>
          <w:tcPr>
            <w:tcW w:w="3960" w:type="dxa"/>
          </w:tcPr>
          <w:p w14:paraId="3976A7B0" w14:textId="77777777" w:rsidR="00A62217" w:rsidRPr="00E52C9B" w:rsidRDefault="00A62217" w:rsidP="00A57AED">
            <w:pPr>
              <w:contextualSpacing/>
            </w:pPr>
            <w:r w:rsidRPr="0041651E">
              <w:t>Nu-Pro Limited</w:t>
            </w:r>
          </w:p>
        </w:tc>
        <w:tc>
          <w:tcPr>
            <w:tcW w:w="1775" w:type="dxa"/>
          </w:tcPr>
          <w:p w14:paraId="180BD558" w14:textId="77777777" w:rsidR="00A62217" w:rsidRDefault="00A62217" w:rsidP="00A57AED">
            <w:pPr>
              <w:contextualSpacing/>
            </w:pPr>
          </w:p>
        </w:tc>
      </w:tr>
    </w:tbl>
    <w:p w14:paraId="7286D6C7" w14:textId="77777777" w:rsidR="009610A4" w:rsidRPr="009610A4" w:rsidRDefault="009610A4" w:rsidP="009610A4">
      <w:pPr>
        <w:keepNext/>
        <w:spacing w:before="200"/>
        <w:ind w:left="720"/>
        <w:rPr>
          <w:b/>
          <w:i/>
          <w:u w:val="single"/>
        </w:rPr>
      </w:pPr>
      <w:r w:rsidRPr="009610A4">
        <w:rPr>
          <w:b/>
          <w:i/>
          <w:u w:val="single"/>
        </w:rPr>
        <w:lastRenderedPageBreak/>
        <w:t xml:space="preserve">PRI Staff Present </w:t>
      </w:r>
    </w:p>
    <w:tbl>
      <w:tblPr>
        <w:tblStyle w:val="TableGrid"/>
        <w:tblW w:w="36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1825"/>
      </w:tblGrid>
      <w:tr w:rsidR="00E71560" w:rsidRPr="009610A4" w14:paraId="7286D6CA" w14:textId="77777777" w:rsidTr="000F14F2">
        <w:tc>
          <w:tcPr>
            <w:tcW w:w="1800" w:type="dxa"/>
          </w:tcPr>
          <w:p w14:paraId="7286D6C8" w14:textId="77777777" w:rsidR="00E71560" w:rsidRPr="009610A4" w:rsidRDefault="00E71560" w:rsidP="009610A4">
            <w:pPr>
              <w:contextualSpacing/>
            </w:pPr>
            <w:r>
              <w:t>Ethan</w:t>
            </w:r>
          </w:p>
        </w:tc>
        <w:tc>
          <w:tcPr>
            <w:tcW w:w="1825" w:type="dxa"/>
          </w:tcPr>
          <w:p w14:paraId="7286D6C9" w14:textId="77777777" w:rsidR="00E71560" w:rsidRPr="009610A4" w:rsidRDefault="00E71560" w:rsidP="009610A4">
            <w:pPr>
              <w:contextualSpacing/>
            </w:pPr>
            <w:r>
              <w:t>Akins</w:t>
            </w:r>
          </w:p>
        </w:tc>
      </w:tr>
      <w:tr w:rsidR="00E71560" w:rsidRPr="009610A4" w14:paraId="7286D6CD" w14:textId="77777777" w:rsidTr="000F14F2">
        <w:tc>
          <w:tcPr>
            <w:tcW w:w="1800" w:type="dxa"/>
          </w:tcPr>
          <w:p w14:paraId="7286D6CB" w14:textId="77777777" w:rsidR="00E71560" w:rsidRPr="009610A4" w:rsidRDefault="00E71560" w:rsidP="009610A4">
            <w:pPr>
              <w:contextualSpacing/>
            </w:pPr>
            <w:r w:rsidRPr="009610A4">
              <w:t>Nigel</w:t>
            </w:r>
          </w:p>
        </w:tc>
        <w:tc>
          <w:tcPr>
            <w:tcW w:w="1825" w:type="dxa"/>
          </w:tcPr>
          <w:p w14:paraId="7286D6CC" w14:textId="77777777" w:rsidR="00E71560" w:rsidRPr="009610A4" w:rsidRDefault="00E71560" w:rsidP="009610A4">
            <w:pPr>
              <w:contextualSpacing/>
            </w:pPr>
            <w:r w:rsidRPr="009610A4">
              <w:t>Cook</w:t>
            </w:r>
          </w:p>
        </w:tc>
      </w:tr>
      <w:tr w:rsidR="001654F4" w:rsidRPr="009610A4" w14:paraId="7286D6D0" w14:textId="77777777" w:rsidTr="000F14F2">
        <w:tc>
          <w:tcPr>
            <w:tcW w:w="1800" w:type="dxa"/>
          </w:tcPr>
          <w:p w14:paraId="7286D6CE" w14:textId="77777777" w:rsidR="001654F4" w:rsidRPr="009610A4" w:rsidRDefault="001654F4" w:rsidP="009610A4">
            <w:pPr>
              <w:contextualSpacing/>
            </w:pPr>
            <w:r>
              <w:t>Mike</w:t>
            </w:r>
          </w:p>
        </w:tc>
        <w:tc>
          <w:tcPr>
            <w:tcW w:w="1825" w:type="dxa"/>
          </w:tcPr>
          <w:p w14:paraId="7286D6CF" w14:textId="77777777" w:rsidR="001654F4" w:rsidRPr="009610A4" w:rsidRDefault="001654F4" w:rsidP="009610A4">
            <w:pPr>
              <w:contextualSpacing/>
            </w:pPr>
            <w:r>
              <w:t>Graham</w:t>
            </w:r>
          </w:p>
        </w:tc>
      </w:tr>
      <w:tr w:rsidR="00E71560" w:rsidRPr="009610A4" w14:paraId="7286D6D3" w14:textId="77777777" w:rsidTr="000F14F2">
        <w:tc>
          <w:tcPr>
            <w:tcW w:w="1800" w:type="dxa"/>
          </w:tcPr>
          <w:p w14:paraId="7286D6D1" w14:textId="77777777" w:rsidR="00E71560" w:rsidRPr="009610A4" w:rsidRDefault="00853959" w:rsidP="009610A4">
            <w:pPr>
              <w:contextualSpacing/>
            </w:pPr>
            <w:r>
              <w:t>Christine</w:t>
            </w:r>
          </w:p>
        </w:tc>
        <w:tc>
          <w:tcPr>
            <w:tcW w:w="1825" w:type="dxa"/>
          </w:tcPr>
          <w:p w14:paraId="7286D6D2" w14:textId="77777777" w:rsidR="00E71560" w:rsidRPr="009610A4" w:rsidRDefault="00853959" w:rsidP="009610A4">
            <w:pPr>
              <w:contextualSpacing/>
            </w:pPr>
            <w:r>
              <w:t>Nesbitt</w:t>
            </w:r>
          </w:p>
        </w:tc>
      </w:tr>
    </w:tbl>
    <w:p w14:paraId="7286D6D4" w14:textId="77777777" w:rsidR="009610A4" w:rsidRPr="009610A4" w:rsidRDefault="009610A4" w:rsidP="009610A4">
      <w:pPr>
        <w:keepNext/>
        <w:keepLines/>
        <w:spacing w:after="0"/>
        <w:ind w:left="181"/>
        <w:outlineLvl w:val="1"/>
        <w:rPr>
          <w:rFonts w:eastAsiaTheme="majorEastAsia" w:cstheme="majorBidi"/>
          <w:bCs/>
          <w:szCs w:val="26"/>
        </w:rPr>
      </w:pPr>
      <w:bookmarkStart w:id="1" w:name="_Toc350939831"/>
      <w:bookmarkStart w:id="2" w:name="_Toc350939946"/>
      <w:bookmarkStart w:id="3" w:name="_Toc350940169"/>
      <w:bookmarkStart w:id="4" w:name="_Toc350940745"/>
      <w:bookmarkStart w:id="5" w:name="_Toc350940888"/>
      <w:bookmarkStart w:id="6" w:name="_Toc350941235"/>
      <w:bookmarkStart w:id="7" w:name="_Toc350941363"/>
      <w:bookmarkStart w:id="8" w:name="_Toc350942126"/>
      <w:bookmarkStart w:id="9" w:name="_Toc358702235"/>
      <w:bookmarkStart w:id="10" w:name="_Toc358702698"/>
      <w:bookmarkStart w:id="11" w:name="_Toc358702802"/>
      <w:bookmarkStart w:id="12" w:name="_Toc360168624"/>
      <w:bookmarkStart w:id="13" w:name="_Toc360169335"/>
      <w:bookmarkStart w:id="14" w:name="_Toc360170408"/>
      <w:bookmarkStart w:id="15" w:name="_Toc360193960"/>
      <w:bookmarkStart w:id="16" w:name="_Toc360194075"/>
      <w:bookmarkStart w:id="17" w:name="_Toc368986509"/>
      <w:bookmarkStart w:id="18" w:name="_Toc380153350"/>
      <w:bookmarkStart w:id="19" w:name="_Toc381686425"/>
      <w:bookmarkStart w:id="20" w:name="_Toc381686844"/>
      <w:bookmarkStart w:id="21" w:name="_Toc381691462"/>
      <w:bookmarkStart w:id="22" w:name="_Toc383078170"/>
      <w:bookmarkStart w:id="23" w:name="_Toc383078406"/>
      <w:bookmarkStart w:id="24" w:name="_Toc383163762"/>
      <w:bookmarkStart w:id="25" w:name="_Toc384042753"/>
      <w:bookmarkStart w:id="26" w:name="_Toc388531004"/>
      <w:bookmarkStart w:id="27" w:name="_Toc388531251"/>
      <w:bookmarkStart w:id="28" w:name="_Toc388534169"/>
      <w:bookmarkStart w:id="29" w:name="_Toc390067047"/>
      <w:bookmarkStart w:id="30" w:name="_Toc392158362"/>
      <w:bookmarkStart w:id="31" w:name="_Toc393438863"/>
      <w:bookmarkStart w:id="32" w:name="_Toc393441829"/>
      <w:bookmarkStart w:id="33" w:name="_Toc393442016"/>
      <w:bookmarkStart w:id="34" w:name="_Toc403115925"/>
      <w:bookmarkStart w:id="35" w:name="_Toc403466293"/>
      <w:bookmarkStart w:id="36" w:name="_Toc403466494"/>
      <w:bookmarkStart w:id="37" w:name="_Toc403466830"/>
      <w:bookmarkStart w:id="38" w:name="_Toc403466949"/>
    </w:p>
    <w:p w14:paraId="7286D6D5" w14:textId="77777777" w:rsidR="009610A4" w:rsidRPr="009610A4" w:rsidRDefault="009610A4" w:rsidP="00E5325D">
      <w:pPr>
        <w:keepNext/>
        <w:keepLines/>
        <w:numPr>
          <w:ilvl w:val="1"/>
          <w:numId w:val="1"/>
        </w:numPr>
        <w:tabs>
          <w:tab w:val="clear" w:pos="1080"/>
          <w:tab w:val="num" w:pos="1260"/>
        </w:tabs>
        <w:outlineLvl w:val="1"/>
        <w:rPr>
          <w:rFonts w:eastAsiaTheme="majorEastAsia" w:cstheme="majorBidi"/>
          <w:bCs/>
          <w:szCs w:val="26"/>
        </w:rPr>
      </w:pPr>
      <w:r w:rsidRPr="009610A4">
        <w:rPr>
          <w:rFonts w:eastAsiaTheme="majorEastAsia" w:cstheme="majorBidi"/>
          <w:bCs/>
          <w:szCs w:val="26"/>
        </w:rPr>
        <w:t>Safety Information:</w:t>
      </w:r>
    </w:p>
    <w:p w14:paraId="2A267425" w14:textId="56360ED9" w:rsidR="00A57AED" w:rsidRDefault="009610A4" w:rsidP="00A57AED">
      <w:pPr>
        <w:ind w:left="720"/>
      </w:pPr>
      <w:r w:rsidRPr="009610A4">
        <w:t>Review</w:t>
      </w:r>
      <w:r w:rsidR="00E236A4">
        <w:t>ed</w:t>
      </w:r>
      <w:r w:rsidRPr="009610A4">
        <w:t xml:space="preserve"> </w:t>
      </w:r>
      <w:r w:rsidR="0062553F">
        <w:t>fire e</w:t>
      </w:r>
      <w:r w:rsidRPr="009610A4">
        <w:t>xits</w:t>
      </w:r>
      <w:r w:rsidR="00E236A4">
        <w:t>.</w:t>
      </w:r>
    </w:p>
    <w:p w14:paraId="7286D6D7" w14:textId="13D33F0C" w:rsidR="0062553F" w:rsidRPr="00A57AED" w:rsidRDefault="009610A4" w:rsidP="00A57AED">
      <w:pPr>
        <w:pStyle w:val="Heading2"/>
        <w:rPr>
          <w:rFonts w:eastAsiaTheme="minorHAnsi" w:cstheme="minorBidi"/>
          <w:szCs w:val="22"/>
        </w:rPr>
      </w:pPr>
      <w:r w:rsidRPr="009610A4">
        <w:t>Inform</w:t>
      </w:r>
      <w:r w:rsidR="00E236A4">
        <w:t>ed</w:t>
      </w:r>
      <w:r w:rsidRPr="009610A4">
        <w:t xml:space="preserve"> </w:t>
      </w:r>
      <w:r w:rsidR="00AE2C1C">
        <w:t xml:space="preserve">attendees </w:t>
      </w:r>
      <w:r w:rsidRPr="009610A4">
        <w:t xml:space="preserve">to contact </w:t>
      </w:r>
      <w:r w:rsidR="00AE2C1C">
        <w:t>Performance Review Institute (</w:t>
      </w:r>
      <w:r w:rsidRPr="009610A4">
        <w:t>PRI</w:t>
      </w:r>
      <w:r w:rsidR="00AE2C1C">
        <w:t>) s</w:t>
      </w:r>
      <w:r w:rsidRPr="009610A4">
        <w:t xml:space="preserve">taff person </w:t>
      </w:r>
      <w:r w:rsidR="00AE2C1C">
        <w:t>with</w:t>
      </w:r>
      <w:r w:rsidRPr="009610A4">
        <w:t xml:space="preserve"> any emergencies</w:t>
      </w:r>
      <w:r w:rsidR="00AE2C1C">
        <w:t>.</w:t>
      </w:r>
      <w:r w:rsidR="00DD1755">
        <w:t xml:space="preserve"> </w:t>
      </w:r>
    </w:p>
    <w:p w14:paraId="7286D6D8" w14:textId="77777777" w:rsidR="009610A4" w:rsidRPr="00AA27F9" w:rsidRDefault="009610A4" w:rsidP="009610A4">
      <w:pPr>
        <w:keepNext/>
        <w:keepLines/>
        <w:numPr>
          <w:ilvl w:val="1"/>
          <w:numId w:val="1"/>
        </w:numPr>
        <w:tabs>
          <w:tab w:val="clear" w:pos="1080"/>
          <w:tab w:val="num" w:pos="1260"/>
        </w:tabs>
        <w:outlineLvl w:val="1"/>
        <w:rPr>
          <w:rFonts w:eastAsiaTheme="majorEastAsia" w:cstheme="majorBidi"/>
          <w:bCs/>
          <w:szCs w:val="26"/>
        </w:rPr>
      </w:pPr>
      <w:r w:rsidRPr="00AA27F9">
        <w:rPr>
          <w:rFonts w:eastAsiaTheme="majorEastAsia" w:cstheme="majorBidi"/>
          <w:bCs/>
          <w:szCs w:val="26"/>
        </w:rPr>
        <w:t>Review</w:t>
      </w:r>
      <w:r w:rsidR="00E236A4" w:rsidRPr="00AA27F9">
        <w:rPr>
          <w:rFonts w:eastAsiaTheme="majorEastAsia" w:cstheme="majorBidi"/>
          <w:bCs/>
          <w:szCs w:val="26"/>
        </w:rPr>
        <w:t>ed</w:t>
      </w:r>
      <w:r w:rsidRPr="00AA27F9">
        <w:rPr>
          <w:rFonts w:eastAsiaTheme="majorEastAsia" w:cstheme="majorBidi"/>
          <w:bCs/>
          <w:szCs w:val="26"/>
        </w:rPr>
        <w:t xml:space="preserve"> Code of Ethics (Ref</w:t>
      </w:r>
      <w:r w:rsidR="00AE2C1C" w:rsidRPr="00AA27F9">
        <w:rPr>
          <w:rFonts w:eastAsiaTheme="majorEastAsia" w:cstheme="majorBidi"/>
          <w:bCs/>
          <w:szCs w:val="26"/>
        </w:rPr>
        <w:t>erenced</w:t>
      </w:r>
      <w:r w:rsidRPr="00AA27F9">
        <w:rPr>
          <w:rFonts w:eastAsiaTheme="majorEastAsia" w:cstheme="majorBidi"/>
          <w:bCs/>
          <w:szCs w:val="26"/>
        </w:rPr>
        <w:t>: Attendees’ Guide) and Meeting Conduct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AE2C1C" w:rsidRPr="00AA27F9">
        <w:rPr>
          <w:rFonts w:eastAsiaTheme="majorEastAsia" w:cstheme="majorBidi"/>
          <w:bCs/>
          <w:szCs w:val="26"/>
        </w:rPr>
        <w:t>.</w:t>
      </w:r>
    </w:p>
    <w:p w14:paraId="7286D6D9" w14:textId="77777777" w:rsidR="009610A4" w:rsidRDefault="009610A4" w:rsidP="009610A4">
      <w:pPr>
        <w:keepNext/>
        <w:keepLines/>
        <w:numPr>
          <w:ilvl w:val="1"/>
          <w:numId w:val="1"/>
        </w:numPr>
        <w:tabs>
          <w:tab w:val="clear" w:pos="1080"/>
          <w:tab w:val="num" w:pos="1260"/>
        </w:tabs>
        <w:outlineLvl w:val="1"/>
        <w:rPr>
          <w:rFonts w:eastAsiaTheme="majorEastAsia" w:cstheme="majorBidi"/>
          <w:bCs/>
          <w:szCs w:val="26"/>
        </w:rPr>
      </w:pPr>
      <w:bookmarkStart w:id="39" w:name="_Toc383078171"/>
      <w:bookmarkStart w:id="40" w:name="_Toc383078407"/>
      <w:bookmarkStart w:id="41" w:name="_Toc383163763"/>
      <w:bookmarkStart w:id="42" w:name="_Toc384042754"/>
      <w:bookmarkStart w:id="43" w:name="_Toc388531005"/>
      <w:bookmarkStart w:id="44" w:name="_Toc388531252"/>
      <w:bookmarkStart w:id="45" w:name="_Toc388534170"/>
      <w:bookmarkStart w:id="46" w:name="_Toc390067048"/>
      <w:bookmarkStart w:id="47" w:name="_Toc392158363"/>
      <w:bookmarkStart w:id="48" w:name="_Toc393438864"/>
      <w:bookmarkStart w:id="49" w:name="_Toc393441830"/>
      <w:bookmarkStart w:id="50" w:name="_Toc393442017"/>
      <w:bookmarkStart w:id="51" w:name="_Toc403115926"/>
      <w:bookmarkStart w:id="52" w:name="_Toc403466294"/>
      <w:bookmarkStart w:id="53" w:name="_Toc403466495"/>
      <w:bookmarkStart w:id="54" w:name="_Toc403466831"/>
      <w:bookmarkStart w:id="55" w:name="_Toc403466950"/>
      <w:r w:rsidRPr="009610A4">
        <w:rPr>
          <w:rFonts w:eastAsiaTheme="majorEastAsia" w:cstheme="majorBidi"/>
          <w:bCs/>
          <w:szCs w:val="26"/>
        </w:rPr>
        <w:t xml:space="preserve">Presented the Antitrust Video (only </w:t>
      </w:r>
      <w:r w:rsidR="00AE2C1C">
        <w:rPr>
          <w:rFonts w:eastAsiaTheme="majorEastAsia" w:cstheme="majorBidi"/>
          <w:bCs/>
          <w:szCs w:val="26"/>
        </w:rPr>
        <w:t>at</w:t>
      </w:r>
      <w:r w:rsidRPr="009610A4">
        <w:rPr>
          <w:rFonts w:eastAsiaTheme="majorEastAsia" w:cstheme="majorBidi"/>
          <w:bCs/>
          <w:szCs w:val="26"/>
        </w:rPr>
        <w:t xml:space="preserve"> the first open and first closed meeting of the week for </w:t>
      </w:r>
      <w:r w:rsidRPr="009610A4">
        <w:rPr>
          <w:rFonts w:eastAsiaTheme="majorEastAsia" w:cstheme="majorBidi"/>
          <w:bCs/>
          <w:szCs w:val="26"/>
          <w:u w:val="single"/>
        </w:rPr>
        <w:t>each</w:t>
      </w:r>
      <w:r w:rsidRPr="009610A4">
        <w:rPr>
          <w:rFonts w:eastAsiaTheme="majorEastAsia" w:cstheme="majorBidi"/>
          <w:bCs/>
          <w:szCs w:val="26"/>
        </w:rPr>
        <w:t xml:space="preserve"> Task Group)</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E236A4">
        <w:rPr>
          <w:rFonts w:eastAsiaTheme="majorEastAsia" w:cstheme="majorBidi"/>
          <w:bCs/>
          <w:szCs w:val="26"/>
        </w:rPr>
        <w:t>.</w:t>
      </w:r>
    </w:p>
    <w:p w14:paraId="7286D6DA" w14:textId="77777777" w:rsidR="00614A39" w:rsidRDefault="007B161F" w:rsidP="009610A4">
      <w:pPr>
        <w:keepNext/>
        <w:keepLines/>
        <w:numPr>
          <w:ilvl w:val="1"/>
          <w:numId w:val="1"/>
        </w:numPr>
        <w:tabs>
          <w:tab w:val="clear" w:pos="1080"/>
          <w:tab w:val="num" w:pos="1260"/>
        </w:tabs>
        <w:outlineLvl w:val="1"/>
        <w:rPr>
          <w:rFonts w:eastAsiaTheme="majorEastAsia" w:cstheme="majorBidi"/>
          <w:bCs/>
          <w:szCs w:val="26"/>
        </w:rPr>
      </w:pPr>
      <w:r w:rsidRPr="0003639A">
        <w:rPr>
          <w:rFonts w:eastAsiaTheme="majorEastAsia" w:cstheme="majorBidi"/>
          <w:bCs/>
          <w:szCs w:val="26"/>
        </w:rPr>
        <w:t>Approv</w:t>
      </w:r>
      <w:r w:rsidR="00BB61A2" w:rsidRPr="0003639A">
        <w:rPr>
          <w:rFonts w:eastAsiaTheme="majorEastAsia" w:cstheme="majorBidi"/>
          <w:bCs/>
          <w:szCs w:val="26"/>
        </w:rPr>
        <w:t>al of</w:t>
      </w:r>
      <w:r w:rsidRPr="0003639A">
        <w:rPr>
          <w:rFonts w:eastAsiaTheme="majorEastAsia" w:cstheme="majorBidi"/>
          <w:bCs/>
          <w:szCs w:val="26"/>
        </w:rPr>
        <w:t xml:space="preserve"> the minutes of the previous m</w:t>
      </w:r>
      <w:r w:rsidR="00BB61A2" w:rsidRPr="0003639A">
        <w:rPr>
          <w:rFonts w:eastAsiaTheme="majorEastAsia" w:cstheme="majorBidi"/>
          <w:bCs/>
          <w:szCs w:val="26"/>
        </w:rPr>
        <w:t>eeting</w:t>
      </w:r>
      <w:r w:rsidR="00BB61A2">
        <w:rPr>
          <w:rFonts w:eastAsiaTheme="majorEastAsia" w:cstheme="majorBidi"/>
          <w:bCs/>
          <w:szCs w:val="26"/>
        </w:rPr>
        <w:t xml:space="preserve">. </w:t>
      </w:r>
    </w:p>
    <w:p w14:paraId="7286D6DB" w14:textId="6A57D694" w:rsidR="007B161F" w:rsidRPr="009610A4" w:rsidRDefault="00BB61A2" w:rsidP="00614A39">
      <w:pPr>
        <w:keepNext/>
        <w:keepLines/>
        <w:ind w:left="720"/>
        <w:outlineLvl w:val="1"/>
        <w:rPr>
          <w:rFonts w:eastAsiaTheme="majorEastAsia" w:cstheme="majorBidi"/>
          <w:bCs/>
          <w:szCs w:val="26"/>
        </w:rPr>
      </w:pPr>
      <w:r>
        <w:rPr>
          <w:rFonts w:eastAsiaTheme="majorEastAsia" w:cstheme="majorBidi"/>
          <w:bCs/>
          <w:szCs w:val="26"/>
        </w:rPr>
        <w:t xml:space="preserve">Motion made by </w:t>
      </w:r>
      <w:r w:rsidR="00781BB7">
        <w:rPr>
          <w:rFonts w:eastAsiaTheme="majorEastAsia" w:cstheme="majorBidi"/>
          <w:bCs/>
          <w:szCs w:val="26"/>
        </w:rPr>
        <w:t>Hal Abel</w:t>
      </w:r>
      <w:r w:rsidR="00C05769">
        <w:rPr>
          <w:rFonts w:eastAsiaTheme="majorEastAsia" w:cstheme="majorBidi"/>
          <w:bCs/>
          <w:szCs w:val="26"/>
        </w:rPr>
        <w:t xml:space="preserve"> </w:t>
      </w:r>
      <w:r>
        <w:rPr>
          <w:rFonts w:eastAsiaTheme="majorEastAsia" w:cstheme="majorBidi"/>
          <w:bCs/>
          <w:szCs w:val="26"/>
        </w:rPr>
        <w:t xml:space="preserve">and seconded by </w:t>
      </w:r>
      <w:r w:rsidR="00781BB7">
        <w:rPr>
          <w:rFonts w:eastAsiaTheme="majorEastAsia" w:cstheme="majorBidi"/>
          <w:bCs/>
          <w:szCs w:val="26"/>
        </w:rPr>
        <w:t>Michael Vosatka</w:t>
      </w:r>
      <w:r>
        <w:rPr>
          <w:rFonts w:eastAsiaTheme="majorEastAsia" w:cstheme="majorBidi"/>
          <w:bCs/>
          <w:szCs w:val="26"/>
        </w:rPr>
        <w:t xml:space="preserve"> to approve the minutes of the last meeting</w:t>
      </w:r>
      <w:r w:rsidR="00097717">
        <w:rPr>
          <w:rFonts w:eastAsiaTheme="majorEastAsia" w:cstheme="majorBidi"/>
          <w:bCs/>
          <w:szCs w:val="26"/>
        </w:rPr>
        <w:t xml:space="preserve">. </w:t>
      </w:r>
      <w:r w:rsidR="00870468">
        <w:rPr>
          <w:rFonts w:eastAsiaTheme="majorEastAsia" w:cstheme="majorBidi"/>
          <w:bCs/>
          <w:szCs w:val="26"/>
        </w:rPr>
        <w:t xml:space="preserve">Motion </w:t>
      </w:r>
      <w:r w:rsidR="00FC33B4">
        <w:rPr>
          <w:rFonts w:eastAsiaTheme="majorEastAsia" w:cstheme="majorBidi"/>
          <w:bCs/>
          <w:szCs w:val="26"/>
        </w:rPr>
        <w:t>p</w:t>
      </w:r>
      <w:r w:rsidR="00870468">
        <w:rPr>
          <w:rFonts w:eastAsiaTheme="majorEastAsia" w:cstheme="majorBidi"/>
          <w:bCs/>
          <w:szCs w:val="26"/>
        </w:rPr>
        <w:t>assed</w:t>
      </w:r>
      <w:r w:rsidR="00097717">
        <w:rPr>
          <w:rFonts w:eastAsiaTheme="majorEastAsia" w:cstheme="majorBidi"/>
          <w:bCs/>
          <w:szCs w:val="26"/>
        </w:rPr>
        <w:t>.</w:t>
      </w:r>
    </w:p>
    <w:p w14:paraId="7286D6DC" w14:textId="77777777" w:rsidR="009610A4" w:rsidRPr="009610A4" w:rsidRDefault="009610A4" w:rsidP="009610A4">
      <w:pPr>
        <w:keepNext/>
        <w:keepLines/>
        <w:numPr>
          <w:ilvl w:val="1"/>
          <w:numId w:val="1"/>
        </w:numPr>
        <w:tabs>
          <w:tab w:val="clear" w:pos="1080"/>
          <w:tab w:val="num" w:pos="1260"/>
        </w:tabs>
        <w:outlineLvl w:val="1"/>
        <w:rPr>
          <w:rFonts w:eastAsiaTheme="majorEastAsia" w:cstheme="majorBidi"/>
          <w:bCs/>
          <w:szCs w:val="26"/>
        </w:rPr>
      </w:pPr>
      <w:bookmarkStart w:id="56" w:name="_Toc350939832"/>
      <w:bookmarkStart w:id="57" w:name="_Toc350939947"/>
      <w:bookmarkStart w:id="58" w:name="_Toc350940170"/>
      <w:bookmarkStart w:id="59" w:name="_Toc350940746"/>
      <w:bookmarkStart w:id="60" w:name="_Toc350940889"/>
      <w:bookmarkStart w:id="61" w:name="_Toc350941236"/>
      <w:bookmarkStart w:id="62" w:name="_Toc350941364"/>
      <w:bookmarkStart w:id="63" w:name="_Toc350942127"/>
      <w:bookmarkStart w:id="64" w:name="_Toc358702236"/>
      <w:bookmarkStart w:id="65" w:name="_Toc358702699"/>
      <w:bookmarkStart w:id="66" w:name="_Toc358702803"/>
      <w:bookmarkStart w:id="67" w:name="_Toc360168625"/>
      <w:bookmarkStart w:id="68" w:name="_Toc360169336"/>
      <w:bookmarkStart w:id="69" w:name="_Toc360170409"/>
      <w:bookmarkStart w:id="70" w:name="_Toc360193961"/>
      <w:bookmarkStart w:id="71" w:name="_Toc360194076"/>
      <w:bookmarkStart w:id="72" w:name="_Toc368986510"/>
      <w:bookmarkStart w:id="73" w:name="_Toc380153351"/>
      <w:bookmarkStart w:id="74" w:name="_Toc381686426"/>
      <w:bookmarkStart w:id="75" w:name="_Toc381686845"/>
      <w:bookmarkStart w:id="76" w:name="_Toc381691463"/>
      <w:bookmarkStart w:id="77" w:name="_Toc383078172"/>
      <w:bookmarkStart w:id="78" w:name="_Toc383078408"/>
      <w:bookmarkStart w:id="79" w:name="_Toc383163764"/>
      <w:bookmarkStart w:id="80" w:name="_Toc384042755"/>
      <w:bookmarkStart w:id="81" w:name="_Toc388531006"/>
      <w:bookmarkStart w:id="82" w:name="_Toc388531253"/>
      <w:bookmarkStart w:id="83" w:name="_Toc388534171"/>
      <w:bookmarkStart w:id="84" w:name="_Toc390067049"/>
      <w:bookmarkStart w:id="85" w:name="_Toc392158364"/>
      <w:bookmarkStart w:id="86" w:name="_Toc393438865"/>
      <w:bookmarkStart w:id="87" w:name="_Toc393441831"/>
      <w:bookmarkStart w:id="88" w:name="_Toc393442018"/>
      <w:bookmarkStart w:id="89" w:name="_Toc403115927"/>
      <w:bookmarkStart w:id="90" w:name="_Toc403466295"/>
      <w:bookmarkStart w:id="91" w:name="_Toc403466496"/>
      <w:bookmarkStart w:id="92" w:name="_Toc403466832"/>
      <w:bookmarkStart w:id="93" w:name="_Toc403466951"/>
      <w:r w:rsidRPr="009610A4">
        <w:rPr>
          <w:rFonts w:eastAsiaTheme="majorEastAsia" w:cstheme="majorBidi"/>
          <w:bCs/>
          <w:szCs w:val="26"/>
        </w:rPr>
        <w:t>Reviewed Agend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9610A4">
        <w:rPr>
          <w:rFonts w:eastAsiaTheme="majorEastAsia" w:cstheme="majorBidi"/>
          <w:bCs/>
          <w:szCs w:val="26"/>
        </w:rPr>
        <w:t>a</w:t>
      </w:r>
      <w:r w:rsidR="00E236A4">
        <w:rPr>
          <w:rFonts w:eastAsiaTheme="majorEastAsia" w:cstheme="majorBidi"/>
          <w:bCs/>
          <w:szCs w:val="26"/>
        </w:rPr>
        <w:t>.</w:t>
      </w:r>
    </w:p>
    <w:p w14:paraId="7286D6DD"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REVIEW DELEGATION STATUS</w:t>
      </w:r>
      <w:r w:rsidR="00971AC2">
        <w:rPr>
          <w:rFonts w:eastAsiaTheme="majorEastAsia" w:cstheme="majorBidi"/>
          <w:b/>
          <w:bCs/>
          <w:caps/>
          <w:szCs w:val="28"/>
        </w:rPr>
        <w:t xml:space="preserve"> </w:t>
      </w:r>
      <w:r w:rsidRPr="009610A4">
        <w:rPr>
          <w:rFonts w:eastAsiaTheme="majorEastAsia" w:cstheme="majorBidi"/>
          <w:b/>
          <w:bCs/>
          <w:caps/>
          <w:szCs w:val="28"/>
        </w:rPr>
        <w:t>– CLOSED</w:t>
      </w:r>
    </w:p>
    <w:p w14:paraId="7286D6DE" w14:textId="5B8A88DD" w:rsidR="009610A4" w:rsidRDefault="009610A4" w:rsidP="009610A4">
      <w:pPr>
        <w:ind w:left="720"/>
      </w:pPr>
      <w:r w:rsidRPr="009610A4">
        <w:t xml:space="preserve">The delegation trackers, t-frm-07s, of the delegated audit report reviewers, </w:t>
      </w:r>
      <w:r w:rsidRPr="00F45844">
        <w:t>Mike Graham</w:t>
      </w:r>
      <w:r w:rsidRPr="009610A4">
        <w:t xml:space="preserve">, </w:t>
      </w:r>
      <w:r w:rsidRPr="00F45844">
        <w:t>Nigel Cook</w:t>
      </w:r>
      <w:r w:rsidRPr="009610A4">
        <w:t xml:space="preserve">, </w:t>
      </w:r>
      <w:r w:rsidRPr="00F45844">
        <w:t>Robert Nixon</w:t>
      </w:r>
      <w:r w:rsidR="00F30388">
        <w:t xml:space="preserve"> and Jack Holman</w:t>
      </w:r>
      <w:r w:rsidRPr="009610A4">
        <w:t xml:space="preserve"> were reviewed</w:t>
      </w:r>
      <w:r w:rsidR="00853959">
        <w:t xml:space="preserve"> and t</w:t>
      </w:r>
      <w:r w:rsidRPr="009610A4">
        <w:t>hey all exceeded criteria for maintaining delegation.</w:t>
      </w:r>
    </w:p>
    <w:p w14:paraId="6CB16BBC" w14:textId="7A12B96F" w:rsidR="00896C68" w:rsidRDefault="00C552CE" w:rsidP="00C552CE">
      <w:r w:rsidRPr="00C552CE">
        <w:rPr>
          <w:b/>
          <w:i/>
        </w:rPr>
        <w:t xml:space="preserve">Action Item: </w:t>
      </w:r>
      <w:r w:rsidR="002E10B9">
        <w:rPr>
          <w:b/>
          <w:i/>
        </w:rPr>
        <w:t xml:space="preserve">Nigel Cook to request </w:t>
      </w:r>
      <w:r w:rsidRPr="00C552CE">
        <w:rPr>
          <w:b/>
          <w:i/>
        </w:rPr>
        <w:t>John Hol</w:t>
      </w:r>
      <w:r w:rsidR="00896C68" w:rsidRPr="00C552CE">
        <w:rPr>
          <w:b/>
          <w:i/>
        </w:rPr>
        <w:t>m</w:t>
      </w:r>
      <w:r w:rsidRPr="00C552CE">
        <w:rPr>
          <w:b/>
          <w:i/>
        </w:rPr>
        <w:t>a</w:t>
      </w:r>
      <w:r w:rsidR="00896C68" w:rsidRPr="00C552CE">
        <w:rPr>
          <w:b/>
          <w:i/>
        </w:rPr>
        <w:t xml:space="preserve">n to review </w:t>
      </w:r>
      <w:r w:rsidR="002E10B9">
        <w:rPr>
          <w:b/>
          <w:i/>
        </w:rPr>
        <w:t>Root Cause Corrective Action (</w:t>
      </w:r>
      <w:r w:rsidR="00896C68" w:rsidRPr="00C552CE">
        <w:rPr>
          <w:b/>
          <w:i/>
        </w:rPr>
        <w:t>RCCA</w:t>
      </w:r>
      <w:r w:rsidR="002E10B9">
        <w:rPr>
          <w:b/>
          <w:i/>
        </w:rPr>
        <w:t>)</w:t>
      </w:r>
      <w:r w:rsidR="00896C68" w:rsidRPr="00C552CE">
        <w:rPr>
          <w:b/>
          <w:i/>
        </w:rPr>
        <w:t xml:space="preserve"> Training Presentation (85.7% on delegation Tracker)</w:t>
      </w:r>
      <w:r w:rsidRPr="00C552CE">
        <w:rPr>
          <w:b/>
          <w:i/>
        </w:rPr>
        <w:t xml:space="preserve"> (Due </w:t>
      </w:r>
      <w:r w:rsidR="00F17145">
        <w:rPr>
          <w:b/>
          <w:i/>
        </w:rPr>
        <w:t>Date: 31-Jul-2016</w:t>
      </w:r>
      <w:r>
        <w:rPr>
          <w:b/>
        </w:rPr>
        <w:t>)</w:t>
      </w:r>
    </w:p>
    <w:p w14:paraId="7286D6DF" w14:textId="46CFEBF8" w:rsidR="00A81170" w:rsidRDefault="00A81170" w:rsidP="009610A4">
      <w:pPr>
        <w:ind w:left="720"/>
      </w:pPr>
      <w:r>
        <w:t xml:space="preserve">Motion made by </w:t>
      </w:r>
      <w:r w:rsidR="00896C68">
        <w:t>Mike Coleman</w:t>
      </w:r>
      <w:r>
        <w:t xml:space="preserve"> and seconded by</w:t>
      </w:r>
      <w:r w:rsidR="007F43A2">
        <w:t xml:space="preserve"> </w:t>
      </w:r>
      <w:r w:rsidR="00896C68">
        <w:t>Susan Lewis</w:t>
      </w:r>
      <w:r w:rsidR="007F43A2">
        <w:t xml:space="preserve"> for delegated reviewers to maintain delegation. </w:t>
      </w:r>
      <w:r w:rsidR="00870468">
        <w:t xml:space="preserve">Motion </w:t>
      </w:r>
      <w:r w:rsidR="00FC33B4">
        <w:t>p</w:t>
      </w:r>
      <w:r w:rsidR="00870468">
        <w:t>assed</w:t>
      </w:r>
      <w:r w:rsidR="007F43A2">
        <w:t>.</w:t>
      </w:r>
    </w:p>
    <w:p w14:paraId="7286D6E0" w14:textId="77777777" w:rsidR="007F43A2" w:rsidRDefault="009610A4" w:rsidP="007F43A2">
      <w:pPr>
        <w:pStyle w:val="Body"/>
      </w:pPr>
      <w:r w:rsidRPr="009610A4">
        <w:t xml:space="preserve">The </w:t>
      </w:r>
      <w:r w:rsidR="00B75079">
        <w:t>tracker</w:t>
      </w:r>
      <w:r w:rsidR="00341DB5">
        <w:t>s</w:t>
      </w:r>
      <w:r w:rsidR="00B75079">
        <w:t xml:space="preserve"> for the non-delegated </w:t>
      </w:r>
      <w:r w:rsidR="00B75079" w:rsidRPr="009610A4">
        <w:t>reviewer</w:t>
      </w:r>
      <w:r w:rsidR="002C3ACA">
        <w:t>s</w:t>
      </w:r>
      <w:r w:rsidR="00B75079" w:rsidRPr="009610A4">
        <w:t xml:space="preserve"> </w:t>
      </w:r>
      <w:r w:rsidR="002C3ACA" w:rsidRPr="00372E8B">
        <w:t>Ethan Akins</w:t>
      </w:r>
      <w:r w:rsidR="001C193D">
        <w:t xml:space="preserve">, </w:t>
      </w:r>
      <w:r w:rsidR="00341DB5" w:rsidRPr="00372E8B">
        <w:t>Christine Nes</w:t>
      </w:r>
      <w:r w:rsidR="008A077B" w:rsidRPr="00372E8B">
        <w:t>b</w:t>
      </w:r>
      <w:r w:rsidR="00341DB5" w:rsidRPr="00372E8B">
        <w:t>itt</w:t>
      </w:r>
      <w:r w:rsidR="001C193D">
        <w:t xml:space="preserve"> and </w:t>
      </w:r>
      <w:r w:rsidR="001C193D" w:rsidRPr="00372E8B">
        <w:t>Aleck Featherston</w:t>
      </w:r>
      <w:r w:rsidR="00B75079" w:rsidRPr="009610A4">
        <w:t xml:space="preserve"> w</w:t>
      </w:r>
      <w:r w:rsidR="002C3ACA">
        <w:t>ere</w:t>
      </w:r>
      <w:r w:rsidRPr="009610A4">
        <w:t xml:space="preserve"> also reviewed. </w:t>
      </w:r>
      <w:r w:rsidR="004252CD">
        <w:t>There were no issues of concern.</w:t>
      </w:r>
    </w:p>
    <w:p w14:paraId="7286D6E1" w14:textId="77777777" w:rsidR="00D32BE9" w:rsidRPr="009610A4" w:rsidRDefault="00D32BE9" w:rsidP="00D32BE9">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 xml:space="preserve">RISK </w:t>
      </w:r>
      <w:r w:rsidR="005F7942" w:rsidRPr="009610A4">
        <w:rPr>
          <w:rFonts w:eastAsiaTheme="majorEastAsia" w:cstheme="majorBidi"/>
          <w:b/>
          <w:bCs/>
          <w:caps/>
          <w:szCs w:val="28"/>
        </w:rPr>
        <w:t xml:space="preserve">MITIGATION </w:t>
      </w:r>
      <w:r w:rsidR="005F7942">
        <w:rPr>
          <w:rFonts w:eastAsiaTheme="majorEastAsia" w:cstheme="majorBidi"/>
          <w:b/>
          <w:bCs/>
          <w:caps/>
          <w:szCs w:val="28"/>
        </w:rPr>
        <w:t>(</w:t>
      </w:r>
      <w:r>
        <w:rPr>
          <w:rFonts w:eastAsiaTheme="majorEastAsia" w:cstheme="majorBidi"/>
          <w:b/>
          <w:bCs/>
          <w:caps/>
          <w:szCs w:val="28"/>
        </w:rPr>
        <w:t xml:space="preserve">OP 1110) </w:t>
      </w:r>
      <w:r w:rsidRPr="009610A4">
        <w:rPr>
          <w:rFonts w:eastAsiaTheme="majorEastAsia" w:cstheme="majorBidi"/>
          <w:b/>
          <w:bCs/>
          <w:caps/>
          <w:szCs w:val="28"/>
        </w:rPr>
        <w:t>- CLOSED</w:t>
      </w:r>
    </w:p>
    <w:p w14:paraId="7286D6E2" w14:textId="4C2968C8" w:rsidR="00D32BE9" w:rsidRDefault="00D32BE9" w:rsidP="00D32BE9">
      <w:pPr>
        <w:ind w:left="720"/>
      </w:pPr>
      <w:r>
        <w:t xml:space="preserve">Open discussion on how risk mitigation is going. </w:t>
      </w:r>
      <w:r w:rsidR="00F0632D">
        <w:t>Some of the</w:t>
      </w:r>
      <w:r w:rsidR="00680F41">
        <w:t xml:space="preserve"> </w:t>
      </w:r>
      <w:r w:rsidR="002E10B9">
        <w:t>Risk Mitigation (</w:t>
      </w:r>
      <w:r w:rsidR="00680F41">
        <w:t>RM</w:t>
      </w:r>
      <w:r w:rsidR="002E10B9">
        <w:t>)</w:t>
      </w:r>
      <w:r w:rsidR="00680F41">
        <w:t xml:space="preserve"> </w:t>
      </w:r>
      <w:r w:rsidR="00F0632D">
        <w:t xml:space="preserve">Teams were amended and </w:t>
      </w:r>
      <w:r w:rsidR="00680F41">
        <w:t xml:space="preserve">audits </w:t>
      </w:r>
      <w:r w:rsidR="00F0632D">
        <w:t>in RM Team Review were reviewed.</w:t>
      </w:r>
    </w:p>
    <w:p w14:paraId="7286D6E3" w14:textId="77777777" w:rsidR="00D32BE9" w:rsidRPr="009610A4" w:rsidRDefault="00F0632D" w:rsidP="00D32BE9">
      <w:pPr>
        <w:ind w:left="720"/>
        <w:rPr>
          <w:rFonts w:cs="Arial"/>
          <w:szCs w:val="20"/>
        </w:rPr>
      </w:pPr>
      <w:r>
        <w:rPr>
          <w:rFonts w:cs="Arial"/>
          <w:szCs w:val="20"/>
        </w:rPr>
        <w:t>There are still concerns on a couple of issues; time taken to close RM audits, effectivity of closure when the team is just one person, workload on PRI Staff when the new RM process is introduced.</w:t>
      </w:r>
    </w:p>
    <w:p w14:paraId="7286D6E4" w14:textId="77777777" w:rsidR="00AB0E4B" w:rsidRDefault="00AB0E4B" w:rsidP="00AB0E4B">
      <w:pPr>
        <w:pStyle w:val="Heading1"/>
      </w:pPr>
      <w:r w:rsidRPr="00AB0E4B">
        <w:t>SUBJECT MATTER EXPERTS</w:t>
      </w:r>
    </w:p>
    <w:p w14:paraId="7286D6E5" w14:textId="77777777" w:rsidR="00AB0E4B" w:rsidRDefault="00AB0E4B" w:rsidP="00AB0E4B">
      <w:pPr>
        <w:pStyle w:val="Body"/>
      </w:pPr>
      <w:r>
        <w:t>The list of subject matter experts was reviewed and updated.</w:t>
      </w:r>
    </w:p>
    <w:p w14:paraId="7286D6E6" w14:textId="77777777" w:rsidR="00AB0E4B" w:rsidRDefault="00AB0E4B" w:rsidP="00AB0E4B">
      <w:pPr>
        <w:pStyle w:val="ActionItem"/>
      </w:pPr>
      <w:r>
        <w:t xml:space="preserve">ACTION ITEM: Ethan Akins to post the updated subject matter expert list to </w:t>
      </w:r>
      <w:proofErr w:type="spellStart"/>
      <w:r>
        <w:t>eAuditNet</w:t>
      </w:r>
      <w:proofErr w:type="spellEnd"/>
      <w:r>
        <w:t>. (Due Date: 15-Jul-2016)</w:t>
      </w:r>
    </w:p>
    <w:p w14:paraId="7286D6E7"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D907A8">
        <w:rPr>
          <w:rFonts w:eastAsiaTheme="majorEastAsia" w:cstheme="majorBidi"/>
          <w:b/>
          <w:bCs/>
          <w:caps/>
          <w:szCs w:val="28"/>
        </w:rPr>
        <w:t>AUDITOR CONSISTENCY</w:t>
      </w:r>
      <w:r w:rsidRPr="009610A4">
        <w:rPr>
          <w:rFonts w:eastAsiaTheme="majorEastAsia" w:cstheme="majorBidi"/>
          <w:b/>
          <w:bCs/>
          <w:caps/>
          <w:szCs w:val="28"/>
        </w:rPr>
        <w:t xml:space="preserve"> (</w:t>
      </w:r>
      <w:r w:rsidR="00B75079">
        <w:rPr>
          <w:rFonts w:eastAsiaTheme="majorEastAsia" w:cstheme="majorBidi"/>
          <w:b/>
          <w:bCs/>
          <w:caps/>
          <w:szCs w:val="28"/>
        </w:rPr>
        <w:t>OP 1117</w:t>
      </w:r>
      <w:r w:rsidRPr="009610A4">
        <w:rPr>
          <w:rFonts w:eastAsiaTheme="majorEastAsia" w:cstheme="majorBidi"/>
          <w:b/>
          <w:bCs/>
          <w:caps/>
          <w:szCs w:val="28"/>
        </w:rPr>
        <w:t>) - CLOSED</w:t>
      </w:r>
    </w:p>
    <w:p w14:paraId="7286D6E8" w14:textId="1D2EA76B" w:rsidR="00D907A8" w:rsidRDefault="00E6572D" w:rsidP="009610A4">
      <w:pPr>
        <w:ind w:left="720"/>
      </w:pPr>
      <w:r>
        <w:t>Mike Coleman</w:t>
      </w:r>
      <w:r w:rsidR="00D907A8">
        <w:t xml:space="preserve"> reviewed the </w:t>
      </w:r>
      <w:r w:rsidR="00D907A8" w:rsidRPr="00F0632D">
        <w:t>auditor consistency presentation</w:t>
      </w:r>
      <w:r w:rsidR="00D907A8">
        <w:t xml:space="preserve">. </w:t>
      </w:r>
    </w:p>
    <w:p w14:paraId="7286D6E9" w14:textId="77777777" w:rsidR="00927DA9" w:rsidRDefault="00927DA9" w:rsidP="009610A4">
      <w:pPr>
        <w:ind w:left="720"/>
      </w:pPr>
      <w:r>
        <w:lastRenderedPageBreak/>
        <w:t>If y</w:t>
      </w:r>
      <w:r w:rsidR="001C193D">
        <w:t>ou want to observe an audit</w:t>
      </w:r>
      <w:r>
        <w:t xml:space="preserve"> please contact Robert Nixon, </w:t>
      </w:r>
      <w:hyperlink r:id="rId11" w:history="1">
        <w:r w:rsidR="0028491B" w:rsidRPr="003F3745">
          <w:rPr>
            <w:rStyle w:val="Hyperlink"/>
          </w:rPr>
          <w:t>rnixon@p-r-i.org</w:t>
        </w:r>
      </w:hyperlink>
      <w:r w:rsidR="0028491B">
        <w:t xml:space="preserve">, to </w:t>
      </w:r>
      <w:r w:rsidR="001C193D">
        <w:t>help identify one.</w:t>
      </w:r>
      <w:r w:rsidR="00BB7433">
        <w:t xml:space="preserve"> It is recommended that the prior audit history is reviewed so that audits with limited scope or few/zero NCRs are avoided.</w:t>
      </w:r>
    </w:p>
    <w:p w14:paraId="7286D6EA" w14:textId="4CEF53CA" w:rsidR="00D51258" w:rsidRDefault="00D51258" w:rsidP="00D51258">
      <w:pPr>
        <w:ind w:left="720"/>
      </w:pPr>
      <w:r>
        <w:t>Review</w:t>
      </w:r>
      <w:r w:rsidR="00BF2C60">
        <w:t>ed</w:t>
      </w:r>
      <w:r>
        <w:t xml:space="preserve"> Dashboard Metrics</w:t>
      </w:r>
      <w:r w:rsidR="00BF2C60">
        <w:t xml:space="preserve"> and audit observation schedule</w:t>
      </w:r>
    </w:p>
    <w:p w14:paraId="7286D6EC" w14:textId="13D369D5" w:rsidR="00D51258" w:rsidRDefault="00BF2C60" w:rsidP="00D51258">
      <w:pPr>
        <w:ind w:left="720"/>
      </w:pPr>
      <w:r>
        <w:t>Reviewed the c</w:t>
      </w:r>
      <w:r w:rsidR="00D51258">
        <w:t xml:space="preserve">orrelation between </w:t>
      </w:r>
      <w:r>
        <w:t xml:space="preserve">auditor who attended/missed the Auditor Conference </w:t>
      </w:r>
      <w:r w:rsidR="00D51258">
        <w:t>and NCRs per Audit</w:t>
      </w:r>
      <w:r>
        <w:t>. There was no significant difference.</w:t>
      </w:r>
    </w:p>
    <w:p w14:paraId="7286D6ED" w14:textId="308FD264" w:rsidR="008A077B" w:rsidRPr="00E713A8" w:rsidRDefault="00D51258" w:rsidP="00D51258">
      <w:pPr>
        <w:ind w:left="720"/>
      </w:pPr>
      <w:r w:rsidRPr="00E713A8">
        <w:t xml:space="preserve">t-frm-01 App CP </w:t>
      </w:r>
      <w:r w:rsidR="00BF2C60" w:rsidRPr="00E713A8">
        <w:t xml:space="preserve">was reviewed </w:t>
      </w:r>
      <w:r w:rsidRPr="00E713A8">
        <w:t>for redundancy.</w:t>
      </w:r>
    </w:p>
    <w:p w14:paraId="2E28CC64" w14:textId="7B876183" w:rsidR="00C552CE" w:rsidRPr="00C552CE" w:rsidRDefault="00C552CE" w:rsidP="00C76EEE">
      <w:pPr>
        <w:pStyle w:val="ActionItem"/>
      </w:pPr>
      <w:r w:rsidRPr="00C552CE">
        <w:t>Action Item</w:t>
      </w:r>
      <w:r>
        <w:t>:  Robert Nixon to revise t-frm-01 CP App to remove redundant item</w:t>
      </w:r>
      <w:r w:rsidR="005A0C58">
        <w:t xml:space="preserve"> to the general t-frm-01</w:t>
      </w:r>
      <w:r>
        <w:t xml:space="preserve">.  (Due </w:t>
      </w:r>
      <w:r w:rsidR="002F5B0E">
        <w:t>Date: 31-Jul-2016</w:t>
      </w:r>
      <w:r>
        <w:t>)</w:t>
      </w:r>
    </w:p>
    <w:p w14:paraId="5F60C597" w14:textId="3D0DC8D5" w:rsidR="009B466B" w:rsidRPr="009B466B" w:rsidRDefault="009610A4" w:rsidP="009B466B">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 xml:space="preserve">RESOLUTION BY TASK GROUP ISSUES </w:t>
      </w:r>
      <w:r w:rsidR="00455415">
        <w:rPr>
          <w:rFonts w:eastAsiaTheme="majorEastAsia" w:cstheme="majorBidi"/>
          <w:b/>
          <w:bCs/>
          <w:caps/>
          <w:szCs w:val="28"/>
        </w:rPr>
        <w:t>–</w:t>
      </w:r>
      <w:r w:rsidRPr="009610A4">
        <w:rPr>
          <w:rFonts w:eastAsiaTheme="majorEastAsia" w:cstheme="majorBidi"/>
          <w:b/>
          <w:bCs/>
          <w:caps/>
          <w:szCs w:val="28"/>
        </w:rPr>
        <w:t xml:space="preserve"> CLOSED</w:t>
      </w:r>
    </w:p>
    <w:p w14:paraId="7EBF1746" w14:textId="77777777" w:rsidR="00FC33B4" w:rsidRDefault="00BF2C60" w:rsidP="00E902A3">
      <w:pPr>
        <w:pStyle w:val="ListParagraph"/>
        <w:spacing w:after="0"/>
        <w:jc w:val="both"/>
      </w:pPr>
      <w:r>
        <w:rPr>
          <w:b/>
        </w:rPr>
        <w:t>(</w:t>
      </w:r>
      <w:r w:rsidR="009B466B">
        <w:rPr>
          <w:b/>
        </w:rPr>
        <w:t>Nigel</w:t>
      </w:r>
      <w:r>
        <w:rPr>
          <w:b/>
        </w:rPr>
        <w:t xml:space="preserve">) </w:t>
      </w:r>
      <w:r w:rsidR="009B466B">
        <w:rPr>
          <w:b/>
        </w:rPr>
        <w:t>Audit 164643</w:t>
      </w:r>
      <w:r>
        <w:rPr>
          <w:b/>
        </w:rPr>
        <w:t>/164642</w:t>
      </w:r>
      <w:r w:rsidR="00D85CC9">
        <w:rPr>
          <w:b/>
        </w:rPr>
        <w:t>:</w:t>
      </w:r>
      <w:r>
        <w:t xml:space="preserve"> Supplier is c</w:t>
      </w:r>
      <w:r w:rsidR="00781BB7">
        <w:t xml:space="preserve">ontesting </w:t>
      </w:r>
      <w:r w:rsidR="00D85CC9">
        <w:t xml:space="preserve">the “supplier to evaluate impact” category of the NCRs, one in each audit because they do not have impact. The Task Group reviewed the NCRs, the one in the main audit was a spec violation and the one in the satellite was a violation of AC7108/1. </w:t>
      </w:r>
    </w:p>
    <w:p w14:paraId="2D657173" w14:textId="77777777" w:rsidR="00FC33B4" w:rsidRDefault="00FC33B4" w:rsidP="00E902A3">
      <w:pPr>
        <w:pStyle w:val="ListParagraph"/>
        <w:spacing w:after="0"/>
        <w:jc w:val="both"/>
      </w:pPr>
    </w:p>
    <w:p w14:paraId="50AA7C75" w14:textId="4F0831F6" w:rsidR="009B466B" w:rsidRDefault="00D85CC9" w:rsidP="00E902A3">
      <w:pPr>
        <w:pStyle w:val="ListParagraph"/>
        <w:spacing w:after="0"/>
        <w:jc w:val="both"/>
        <w:rPr>
          <w:b/>
        </w:rPr>
      </w:pPr>
      <w:r>
        <w:t xml:space="preserve">Motion made by Stephen Judge and seconded by Hal Abel to leave the spec violation </w:t>
      </w:r>
      <w:r w:rsidR="00CF0B7D">
        <w:t>Non Conformance (</w:t>
      </w:r>
      <w:r>
        <w:t>NCR</w:t>
      </w:r>
      <w:r w:rsidR="00CF0B7D">
        <w:t>)</w:t>
      </w:r>
      <w:r>
        <w:t xml:space="preserve"> as “supplier to evaluate impact” but remove it from the NCR in the satellite audit. The NCR in the satellite audit was amended.</w:t>
      </w:r>
      <w:r w:rsidR="00FC33B4">
        <w:t xml:space="preserve"> Motion passed. </w:t>
      </w:r>
    </w:p>
    <w:p w14:paraId="4FDE75A7" w14:textId="77777777" w:rsidR="00781BB7" w:rsidRDefault="00781BB7" w:rsidP="00AB2813">
      <w:pPr>
        <w:spacing w:after="0"/>
        <w:jc w:val="both"/>
      </w:pPr>
    </w:p>
    <w:p w14:paraId="7286D6EF" w14:textId="269BB19F" w:rsidR="00E26282" w:rsidRDefault="00E26282" w:rsidP="00E902A3">
      <w:pPr>
        <w:pStyle w:val="ListParagraph"/>
        <w:spacing w:after="0"/>
        <w:jc w:val="both"/>
      </w:pPr>
      <w:r>
        <w:rPr>
          <w:b/>
        </w:rPr>
        <w:t xml:space="preserve">(Nigel) Audit </w:t>
      </w:r>
      <w:r w:rsidRPr="00E26282">
        <w:rPr>
          <w:b/>
        </w:rPr>
        <w:t>157763</w:t>
      </w:r>
      <w:r>
        <w:rPr>
          <w:b/>
        </w:rPr>
        <w:t xml:space="preserve">: </w:t>
      </w:r>
      <w:r w:rsidR="00D85CC9" w:rsidRPr="00E713A8">
        <w:t xml:space="preserve">The audit was </w:t>
      </w:r>
      <w:r w:rsidR="00D85CC9" w:rsidRPr="00D85CC9">
        <w:t>c</w:t>
      </w:r>
      <w:r w:rsidRPr="00D85CC9">
        <w:t>losed</w:t>
      </w:r>
      <w:r w:rsidRPr="00E26282">
        <w:t xml:space="preserve"> by a non-delegated reviewer with only 5 days in TG Review. It is the only time it has happened</w:t>
      </w:r>
      <w:r w:rsidR="0046793A">
        <w:t xml:space="preserve"> and the reviewer was quite new at the time, confirmed that the reviewer is aware of the </w:t>
      </w:r>
      <w:r w:rsidR="00E713A8">
        <w:t>7-day</w:t>
      </w:r>
      <w:r w:rsidR="0046793A">
        <w:t xml:space="preserve"> requirement</w:t>
      </w:r>
      <w:r w:rsidRPr="00E26282">
        <w:t>. It did have 3 accepting votes.</w:t>
      </w:r>
      <w:r w:rsidR="0046793A">
        <w:t xml:space="preserve"> Any further action required</w:t>
      </w:r>
      <w:r w:rsidR="00D85CC9">
        <w:t>. The Task Group agreed that no further action was required.</w:t>
      </w:r>
    </w:p>
    <w:p w14:paraId="7286D6F0" w14:textId="77777777" w:rsidR="00E26282" w:rsidRDefault="00E26282" w:rsidP="00D51258">
      <w:pPr>
        <w:pStyle w:val="ListParagraph"/>
        <w:spacing w:after="0"/>
        <w:jc w:val="both"/>
        <w:rPr>
          <w:b/>
        </w:rPr>
      </w:pPr>
    </w:p>
    <w:p w14:paraId="67E950B2" w14:textId="366981A6" w:rsidR="0036727E" w:rsidRDefault="00E902A3" w:rsidP="0036727E">
      <w:pPr>
        <w:pStyle w:val="ListParagraph"/>
        <w:spacing w:after="0"/>
        <w:jc w:val="both"/>
      </w:pPr>
      <w:r>
        <w:rPr>
          <w:b/>
        </w:rPr>
        <w:t xml:space="preserve">(Nigel) </w:t>
      </w:r>
      <w:r w:rsidR="0070211D">
        <w:rPr>
          <w:b/>
        </w:rPr>
        <w:t>IR888</w:t>
      </w:r>
      <w:r w:rsidR="00DD1755">
        <w:rPr>
          <w:b/>
        </w:rPr>
        <w:t xml:space="preserve">: </w:t>
      </w:r>
      <w:r w:rsidR="0036727E">
        <w:t xml:space="preserve">In October 2015 PRI </w:t>
      </w:r>
      <w:r w:rsidR="00D85CC9">
        <w:t xml:space="preserve">received notification from a design authority </w:t>
      </w:r>
      <w:r w:rsidR="0036727E">
        <w:t>that some parts processed at a Nadcap accredited supplier had not been stress relieved and de-</w:t>
      </w:r>
      <w:proofErr w:type="spellStart"/>
      <w:r w:rsidR="0036727E">
        <w:t>embrittled</w:t>
      </w:r>
      <w:proofErr w:type="spellEnd"/>
      <w:r w:rsidR="0036727E">
        <w:t xml:space="preserve"> per requirements of QQ-P-416. IR888 was raised and the Chemical Process Task Group set up a sub-team to investigate the issue. </w:t>
      </w:r>
    </w:p>
    <w:p w14:paraId="7CC9BAC4" w14:textId="77777777" w:rsidR="0036727E" w:rsidRDefault="0036727E" w:rsidP="0036727E">
      <w:pPr>
        <w:pStyle w:val="ListParagraph"/>
        <w:spacing w:after="0"/>
        <w:jc w:val="both"/>
      </w:pPr>
      <w:r>
        <w:t>The sub-team investigated along several lines:</w:t>
      </w:r>
    </w:p>
    <w:p w14:paraId="620EE5F1" w14:textId="089F9353" w:rsidR="0036727E" w:rsidRDefault="0036727E" w:rsidP="0036727E">
      <w:pPr>
        <w:pStyle w:val="ListParagraph"/>
        <w:numPr>
          <w:ilvl w:val="0"/>
          <w:numId w:val="26"/>
        </w:numPr>
        <w:spacing w:after="0"/>
        <w:jc w:val="both"/>
      </w:pPr>
      <w:r>
        <w:t xml:space="preserve">They requested additional information from </w:t>
      </w:r>
      <w:r w:rsidR="00D85CC9">
        <w:t xml:space="preserve">the design authority </w:t>
      </w:r>
      <w:r>
        <w:t xml:space="preserve">so that they could investigate how the error occurred. </w:t>
      </w:r>
      <w:r w:rsidR="00D85CC9">
        <w:t xml:space="preserve">The design authority </w:t>
      </w:r>
      <w:r w:rsidR="00E713A8">
        <w:t>was</w:t>
      </w:r>
      <w:r>
        <w:t xml:space="preserve"> unable to provide all the information and it was not possible to determine the heat treatment condition of the material that was sent to the supplier for cadmium plating.</w:t>
      </w:r>
    </w:p>
    <w:p w14:paraId="70982863" w14:textId="7A02611A" w:rsidR="0036727E" w:rsidRDefault="0036727E" w:rsidP="0036727E">
      <w:pPr>
        <w:pStyle w:val="ListParagraph"/>
        <w:numPr>
          <w:ilvl w:val="0"/>
          <w:numId w:val="26"/>
        </w:numPr>
        <w:spacing w:after="0"/>
        <w:jc w:val="both"/>
      </w:pPr>
      <w:r>
        <w:t xml:space="preserve">They reviewed previous Nadcap audits of the supplier. The supplier had only ever identified a single fastener company and their parts did not require stress relief and de-embrittlement was always 24 hours at 375°F. </w:t>
      </w:r>
      <w:r w:rsidR="00D85CC9">
        <w:t xml:space="preserve">The design authority </w:t>
      </w:r>
      <w:r>
        <w:t>does not mandate Nadcap accreditation to its special process supplie</w:t>
      </w:r>
      <w:r w:rsidR="00D85CC9">
        <w:t>r</w:t>
      </w:r>
      <w:r>
        <w:t>s</w:t>
      </w:r>
    </w:p>
    <w:p w14:paraId="18525601" w14:textId="34CA900F" w:rsidR="0036727E" w:rsidRDefault="0036727E" w:rsidP="0036727E">
      <w:pPr>
        <w:pStyle w:val="ListParagraph"/>
        <w:numPr>
          <w:ilvl w:val="0"/>
          <w:numId w:val="26"/>
        </w:numPr>
        <w:spacing w:after="0"/>
        <w:jc w:val="both"/>
      </w:pPr>
      <w:r>
        <w:t xml:space="preserve">They asked </w:t>
      </w:r>
      <w:r w:rsidR="00D85CC9">
        <w:t xml:space="preserve">the design authority </w:t>
      </w:r>
      <w:r>
        <w:t xml:space="preserve">if any assemblies containing details that had not been correctly processed had been delivered to any Nadcap Subscribers and whether the Subscribers had been notified. </w:t>
      </w:r>
      <w:r w:rsidR="00D85CC9">
        <w:t xml:space="preserve">The design authority </w:t>
      </w:r>
      <w:r>
        <w:t xml:space="preserve">confirmed that only </w:t>
      </w:r>
      <w:r w:rsidR="00D85CC9">
        <w:t>one</w:t>
      </w:r>
      <w:r w:rsidR="00E713A8">
        <w:t xml:space="preserve"> </w:t>
      </w:r>
      <w:r w:rsidR="00D85CC9">
        <w:t>Nadcap Subscriber</w:t>
      </w:r>
      <w:r>
        <w:t xml:space="preserve"> was affected and it had been notified</w:t>
      </w:r>
      <w:r w:rsidR="006E0CFD">
        <w:t>.</w:t>
      </w:r>
    </w:p>
    <w:p w14:paraId="77B5DC0D" w14:textId="77777777" w:rsidR="006E0CFD" w:rsidRDefault="006E0CFD" w:rsidP="00E713A8">
      <w:pPr>
        <w:spacing w:after="0"/>
        <w:ind w:left="720"/>
        <w:jc w:val="both"/>
      </w:pPr>
    </w:p>
    <w:p w14:paraId="29BA178A" w14:textId="77777777" w:rsidR="0036727E" w:rsidRDefault="0036727E" w:rsidP="0036727E">
      <w:pPr>
        <w:pStyle w:val="ListParagraph"/>
        <w:spacing w:after="0"/>
        <w:jc w:val="both"/>
      </w:pPr>
      <w:r>
        <w:t>At the time this investigation was taking place the Chemical Process Task Group were aware that QQ-P-416 contained errors regarding the required stress relief and de-embrittlement requirements and issued auditor advisory CP-15-008 to notify Auditors, Suppliers and Subscribers of the errors.</w:t>
      </w:r>
    </w:p>
    <w:p w14:paraId="6325E54B" w14:textId="77777777" w:rsidR="0036727E" w:rsidRDefault="0036727E" w:rsidP="0036727E">
      <w:pPr>
        <w:pStyle w:val="ListParagraph"/>
        <w:spacing w:after="0"/>
        <w:jc w:val="both"/>
      </w:pPr>
    </w:p>
    <w:p w14:paraId="278CB878" w14:textId="77777777" w:rsidR="00FC33B4" w:rsidRDefault="0036727E" w:rsidP="00E713A8">
      <w:pPr>
        <w:pStyle w:val="ListParagraph"/>
        <w:spacing w:after="0"/>
        <w:jc w:val="both"/>
      </w:pPr>
      <w:r>
        <w:t xml:space="preserve">Had </w:t>
      </w:r>
      <w:r w:rsidR="006E0CFD">
        <w:t xml:space="preserve">the design authority </w:t>
      </w:r>
      <w:r>
        <w:t xml:space="preserve">mandated Nadcap accreditation then the supplier would have been obligated to identify </w:t>
      </w:r>
      <w:r w:rsidR="006E0CFD">
        <w:t xml:space="preserve">them </w:t>
      </w:r>
      <w:r>
        <w:t>as a customer and this in turn would have required some of their work to be reviewed in the Nadcap audit.</w:t>
      </w:r>
      <w:r w:rsidR="006E0CFD">
        <w:t xml:space="preserve"> </w:t>
      </w:r>
    </w:p>
    <w:p w14:paraId="3F88CC6C" w14:textId="77777777" w:rsidR="00FC33B4" w:rsidRDefault="00FC33B4" w:rsidP="00E713A8">
      <w:pPr>
        <w:pStyle w:val="ListParagraph"/>
        <w:spacing w:after="0"/>
        <w:jc w:val="both"/>
      </w:pPr>
    </w:p>
    <w:p w14:paraId="3833AD42" w14:textId="31B78D9D" w:rsidR="00C36F91" w:rsidRPr="00781BB7" w:rsidRDefault="00C36F91" w:rsidP="00E713A8">
      <w:pPr>
        <w:pStyle w:val="ListParagraph"/>
        <w:spacing w:after="0"/>
        <w:jc w:val="both"/>
      </w:pPr>
      <w:r w:rsidRPr="00781BB7">
        <w:t xml:space="preserve">Motion </w:t>
      </w:r>
      <w:r w:rsidR="00781BB7" w:rsidRPr="00781BB7">
        <w:t>made by Zia</w:t>
      </w:r>
      <w:r w:rsidR="00F82EDB">
        <w:t xml:space="preserve"> </w:t>
      </w:r>
      <w:r w:rsidR="00781BB7" w:rsidRPr="00781BB7">
        <w:t>Usmani</w:t>
      </w:r>
      <w:r w:rsidRPr="00781BB7">
        <w:t xml:space="preserve"> </w:t>
      </w:r>
      <w:r w:rsidR="00781BB7" w:rsidRPr="00781BB7">
        <w:t xml:space="preserve">and </w:t>
      </w:r>
      <w:r w:rsidRPr="00781BB7">
        <w:t>second</w:t>
      </w:r>
      <w:r w:rsidR="00781BB7" w:rsidRPr="00781BB7">
        <w:t>ed by Hal Abel to close</w:t>
      </w:r>
      <w:r w:rsidRPr="00781BB7">
        <w:t xml:space="preserve"> </w:t>
      </w:r>
      <w:r w:rsidR="00781BB7" w:rsidRPr="00781BB7">
        <w:t>with no further ac</w:t>
      </w:r>
      <w:r w:rsidRPr="00781BB7">
        <w:t>t</w:t>
      </w:r>
      <w:r w:rsidR="00781BB7" w:rsidRPr="00781BB7">
        <w:t>i</w:t>
      </w:r>
      <w:r w:rsidRPr="00781BB7">
        <w:t>on</w:t>
      </w:r>
      <w:r w:rsidR="00781BB7" w:rsidRPr="00781BB7">
        <w:t xml:space="preserve"> needed.</w:t>
      </w:r>
      <w:r w:rsidR="00FC33B4">
        <w:t xml:space="preserve"> Motion passed.</w:t>
      </w:r>
    </w:p>
    <w:p w14:paraId="2D4CDBA6" w14:textId="77777777" w:rsidR="00C36F91" w:rsidRDefault="00C36F91" w:rsidP="00E902A3">
      <w:pPr>
        <w:pStyle w:val="ListParagraph"/>
        <w:spacing w:after="0"/>
        <w:jc w:val="both"/>
      </w:pPr>
    </w:p>
    <w:p w14:paraId="185E2BC8" w14:textId="77777777" w:rsidR="00FC33B4" w:rsidRDefault="002F4CD4" w:rsidP="00E713A8">
      <w:pPr>
        <w:pStyle w:val="ListParagraph"/>
        <w:spacing w:after="0"/>
        <w:jc w:val="both"/>
      </w:pPr>
      <w:r w:rsidRPr="002F4CD4">
        <w:rPr>
          <w:b/>
        </w:rPr>
        <w:lastRenderedPageBreak/>
        <w:t>(</w:t>
      </w:r>
      <w:r w:rsidR="00C677C7">
        <w:rPr>
          <w:b/>
        </w:rPr>
        <w:t>Robert</w:t>
      </w:r>
      <w:r w:rsidRPr="002F4CD4">
        <w:rPr>
          <w:b/>
        </w:rPr>
        <w:t>) IR850:</w:t>
      </w:r>
      <w:r>
        <w:t xml:space="preserve"> Allegation of wrong doing was </w:t>
      </w:r>
      <w:r w:rsidR="00E713A8">
        <w:t>reviewed</w:t>
      </w:r>
      <w:r>
        <w:t xml:space="preserve"> by PRI. </w:t>
      </w:r>
      <w:r w:rsidRPr="002F4CD4">
        <w:t xml:space="preserve">The allegation was initiated based on information received that </w:t>
      </w:r>
      <w:r w:rsidR="00C677C7">
        <w:t xml:space="preserve">periodic </w:t>
      </w:r>
      <w:r w:rsidRPr="002F4CD4">
        <w:t>corrosion testing always failed and was not being disclosed. The conclusion of the investigat</w:t>
      </w:r>
      <w:r w:rsidR="008F36ED">
        <w:t>ing</w:t>
      </w:r>
      <w:r w:rsidRPr="002F4CD4">
        <w:t xml:space="preserve"> team was</w:t>
      </w:r>
      <w:r>
        <w:t xml:space="preserve"> t</w:t>
      </w:r>
      <w:r w:rsidRPr="002F4CD4">
        <w:t xml:space="preserve">here has been no confirmation of the original allegation regarding salt spray. </w:t>
      </w:r>
      <w:r>
        <w:t>The Supplier’s</w:t>
      </w:r>
      <w:r w:rsidRPr="002F4CD4">
        <w:t xml:space="preserve"> Management was very open and extremely supportive of the investiga</w:t>
      </w:r>
      <w:r>
        <w:t>tion. No Nadcap action required, e</w:t>
      </w:r>
      <w:r w:rsidRPr="002F4CD4">
        <w:t>ach individually affected Subscriber Prime will assess and determ</w:t>
      </w:r>
      <w:r w:rsidR="008F36ED">
        <w:t>ine necessary course of action.</w:t>
      </w:r>
      <w:r w:rsidR="006E0CFD">
        <w:t xml:space="preserve"> </w:t>
      </w:r>
    </w:p>
    <w:p w14:paraId="0B89EBDF" w14:textId="77777777" w:rsidR="00FC33B4" w:rsidRDefault="00FC33B4" w:rsidP="00E713A8">
      <w:pPr>
        <w:pStyle w:val="ListParagraph"/>
        <w:spacing w:after="0"/>
        <w:jc w:val="both"/>
      </w:pPr>
    </w:p>
    <w:p w14:paraId="1635FDD1" w14:textId="5304BC2A" w:rsidR="00C36F91" w:rsidRDefault="00C36F91" w:rsidP="00E713A8">
      <w:pPr>
        <w:pStyle w:val="ListParagraph"/>
        <w:spacing w:after="0"/>
        <w:jc w:val="both"/>
      </w:pPr>
      <w:r w:rsidRPr="00781BB7">
        <w:t xml:space="preserve">Motion </w:t>
      </w:r>
      <w:r w:rsidR="00781BB7" w:rsidRPr="00781BB7">
        <w:t xml:space="preserve">made by </w:t>
      </w:r>
      <w:r w:rsidRPr="00781BB7">
        <w:t xml:space="preserve">Mike </w:t>
      </w:r>
      <w:r w:rsidR="00781BB7" w:rsidRPr="00781BB7">
        <w:t>C</w:t>
      </w:r>
      <w:r w:rsidRPr="00781BB7">
        <w:t xml:space="preserve">oleman </w:t>
      </w:r>
      <w:r w:rsidR="00781BB7" w:rsidRPr="00781BB7">
        <w:t xml:space="preserve">and </w:t>
      </w:r>
      <w:r w:rsidRPr="00781BB7">
        <w:t>second</w:t>
      </w:r>
      <w:r w:rsidR="00781BB7" w:rsidRPr="00781BB7">
        <w:t xml:space="preserve">ed </w:t>
      </w:r>
      <w:r w:rsidR="00325E5E">
        <w:t>by Hal Abel to close</w:t>
      </w:r>
      <w:r w:rsidR="00781BB7" w:rsidRPr="00781BB7">
        <w:t xml:space="preserve"> with no further action needed</w:t>
      </w:r>
      <w:r w:rsidR="00781BB7">
        <w:t>.</w:t>
      </w:r>
      <w:r w:rsidR="00FC33B4">
        <w:t xml:space="preserve"> Motion passed.</w:t>
      </w:r>
      <w:r>
        <w:t xml:space="preserve">  </w:t>
      </w:r>
    </w:p>
    <w:p w14:paraId="11106216" w14:textId="3C8F9E0A" w:rsidR="00C36F91" w:rsidRDefault="00C36F91" w:rsidP="00E902A3">
      <w:pPr>
        <w:pStyle w:val="ListParagraph"/>
        <w:spacing w:after="0"/>
        <w:jc w:val="both"/>
      </w:pPr>
    </w:p>
    <w:p w14:paraId="36D1866C" w14:textId="56AB1D21" w:rsidR="00A2512E" w:rsidRDefault="00FC6F0D" w:rsidP="00E902A3">
      <w:pPr>
        <w:pStyle w:val="ListParagraph"/>
        <w:spacing w:after="0"/>
        <w:jc w:val="both"/>
      </w:pPr>
      <w:r>
        <w:rPr>
          <w:b/>
        </w:rPr>
        <w:t xml:space="preserve">RAIL ITEM 208: </w:t>
      </w:r>
      <w:r>
        <w:t xml:space="preserve">Nigel Cook reviewed the sub-tem presentation on missed non-compliances. </w:t>
      </w:r>
      <w:r w:rsidR="00A2512E">
        <w:t xml:space="preserve">There were several issues that were long term, or repeated, non-compliances to checklist or specification requirements but others were unique to a particular job or did not have sufficient detail to determine if they should have been found in a Nadcap </w:t>
      </w:r>
      <w:r w:rsidR="00E713A8">
        <w:t>audit. The</w:t>
      </w:r>
      <w:r w:rsidR="00A2512E">
        <w:t xml:space="preserve"> sub-team is to continue its work but requires more examples and requested that Subscriber members provide them with examples. In order to allow an effective </w:t>
      </w:r>
      <w:r w:rsidR="00E713A8">
        <w:t>investigation,</w:t>
      </w:r>
      <w:r w:rsidR="00A2512E">
        <w:t xml:space="preserve"> the sub-team require: the supplier’s name, the specification number, the specification requirement (as stated in the specification), the specific (traceable) examples of non-compliance.</w:t>
      </w:r>
    </w:p>
    <w:p w14:paraId="384C5B76" w14:textId="77777777" w:rsidR="00A2512E" w:rsidRDefault="00A2512E" w:rsidP="00E713A8">
      <w:pPr>
        <w:pStyle w:val="Body"/>
        <w:spacing w:after="0"/>
      </w:pPr>
    </w:p>
    <w:p w14:paraId="769E83EA" w14:textId="3D900F52" w:rsidR="00563885" w:rsidRPr="00FC6F0D" w:rsidRDefault="00A2512E" w:rsidP="00E713A8">
      <w:pPr>
        <w:pStyle w:val="Body"/>
      </w:pPr>
      <w:r>
        <w:t>NOTE: non-compliances against a single job number are unlikely to be identified in a Nadcap audit.</w:t>
      </w:r>
    </w:p>
    <w:p w14:paraId="6EA6352E" w14:textId="16E9871C" w:rsidR="00563885" w:rsidRDefault="00C552CE" w:rsidP="00325E5E">
      <w:pPr>
        <w:spacing w:after="0"/>
        <w:jc w:val="both"/>
        <w:rPr>
          <w:b/>
          <w:i/>
        </w:rPr>
      </w:pPr>
      <w:r w:rsidRPr="00095C47">
        <w:rPr>
          <w:b/>
          <w:i/>
        </w:rPr>
        <w:t>Action Item: Task Group</w:t>
      </w:r>
      <w:r w:rsidR="00A2512E">
        <w:rPr>
          <w:b/>
          <w:i/>
        </w:rPr>
        <w:t xml:space="preserve"> Subscriber Members to provide Nigel Cook examples of specification non-compliances that have not been caught in a Nadcap audit</w:t>
      </w:r>
      <w:r w:rsidR="00CC45C6">
        <w:rPr>
          <w:b/>
          <w:i/>
        </w:rPr>
        <w:t>.</w:t>
      </w:r>
      <w:r w:rsidRPr="00095C47">
        <w:rPr>
          <w:b/>
          <w:i/>
        </w:rPr>
        <w:t xml:space="preserve"> </w:t>
      </w:r>
      <w:r w:rsidR="00CC45C6">
        <w:rPr>
          <w:b/>
          <w:i/>
        </w:rPr>
        <w:t xml:space="preserve">The information is to include </w:t>
      </w:r>
      <w:r w:rsidR="00CC45C6" w:rsidRPr="00CC45C6">
        <w:rPr>
          <w:b/>
          <w:i/>
        </w:rPr>
        <w:t xml:space="preserve">the supplier’s name, the specification number, the specification requirement (as stated in the specification), </w:t>
      </w:r>
      <w:r w:rsidR="00CC45C6">
        <w:rPr>
          <w:b/>
          <w:i/>
        </w:rPr>
        <w:t>and</w:t>
      </w:r>
      <w:r w:rsidR="00CC45C6" w:rsidRPr="00CC45C6">
        <w:rPr>
          <w:b/>
          <w:i/>
        </w:rPr>
        <w:t xml:space="preserve"> specific (traceable) examples of non-compliance.</w:t>
      </w:r>
      <w:r w:rsidR="00CC45C6" w:rsidRPr="00CC45C6" w:rsidDel="00CC45C6">
        <w:rPr>
          <w:b/>
          <w:i/>
        </w:rPr>
        <w:t xml:space="preserve"> </w:t>
      </w:r>
      <w:r w:rsidR="00CC45C6">
        <w:rPr>
          <w:b/>
          <w:i/>
        </w:rPr>
        <w:t>(Due Date: 30-Aug-2016)</w:t>
      </w:r>
    </w:p>
    <w:p w14:paraId="05B455D4" w14:textId="77777777" w:rsidR="00563885" w:rsidRDefault="00563885" w:rsidP="00E902A3">
      <w:pPr>
        <w:pStyle w:val="ListParagraph"/>
        <w:spacing w:after="0"/>
        <w:jc w:val="both"/>
        <w:rPr>
          <w:b/>
        </w:rPr>
      </w:pPr>
    </w:p>
    <w:p w14:paraId="1CEF2824" w14:textId="77777777" w:rsidR="00563885" w:rsidRDefault="00B816FC" w:rsidP="00563885">
      <w:pPr>
        <w:pStyle w:val="ListParagraph"/>
        <w:spacing w:after="0"/>
      </w:pPr>
      <w:r w:rsidRPr="00B816FC">
        <w:rPr>
          <w:b/>
        </w:rPr>
        <w:t xml:space="preserve">(Ethan) </w:t>
      </w:r>
      <w:r w:rsidRPr="00563885">
        <w:rPr>
          <w:b/>
        </w:rPr>
        <w:t>Audit 166627:</w:t>
      </w:r>
      <w:r>
        <w:t xml:space="preserve">  NCR 3 </w:t>
      </w:r>
      <w:r w:rsidRPr="00B816FC">
        <w:t>ASTM B117-11, 10.2 states that both sodium chloride concentration (measured as specific gravity) and volume of condensate collected (measured in mL) shall be recorded once daily.</w:t>
      </w:r>
      <w:r>
        <w:t xml:space="preserve">  Supplier is usi</w:t>
      </w:r>
      <w:r w:rsidR="006F61B4">
        <w:t>ng ‘silver nitrate method’ to determine salt concentration.</w:t>
      </w:r>
    </w:p>
    <w:p w14:paraId="421FE769" w14:textId="77777777" w:rsidR="00563885" w:rsidRDefault="00563885" w:rsidP="00563885">
      <w:pPr>
        <w:pStyle w:val="ListParagraph"/>
        <w:spacing w:after="0"/>
      </w:pPr>
    </w:p>
    <w:p w14:paraId="0B37E5F7" w14:textId="372C6B95" w:rsidR="00690C26" w:rsidRDefault="00563885" w:rsidP="00563885">
      <w:pPr>
        <w:pStyle w:val="ListParagraph"/>
        <w:spacing w:after="0"/>
      </w:pPr>
      <w:r w:rsidRPr="00563885">
        <w:t>Previous revision of ASTM B117-</w:t>
      </w:r>
      <w:proofErr w:type="gramStart"/>
      <w:r w:rsidRPr="00563885">
        <w:t>09</w:t>
      </w:r>
      <w:r w:rsidR="00CC45C6">
        <w:t xml:space="preserve"> </w:t>
      </w:r>
      <w:r w:rsidRPr="00563885">
        <w:t xml:space="preserve"> Section</w:t>
      </w:r>
      <w:proofErr w:type="gramEnd"/>
      <w:r w:rsidRPr="00563885">
        <w:t xml:space="preserve"> 10. 2 states</w:t>
      </w:r>
      <w:r w:rsidR="00CC45C6">
        <w:t xml:space="preserve">, </w:t>
      </w:r>
      <w:r w:rsidRPr="00563885">
        <w:t xml:space="preserve">"the sodium chloride concentration of the collected solution shall be 5+/- 1 mass % (Notes 9-11)." Note 10 mentions methods using specific gravity, salinity meter, OR </w:t>
      </w:r>
      <w:proofErr w:type="spellStart"/>
      <w:r w:rsidRPr="0052693D">
        <w:t>colormetrically</w:t>
      </w:r>
      <w:proofErr w:type="spellEnd"/>
      <w:r w:rsidRPr="0052693D">
        <w:t>.</w:t>
      </w:r>
      <w:r w:rsidR="00E6572D">
        <w:t xml:space="preserve"> </w:t>
      </w:r>
      <w:r w:rsidR="00E6572D">
        <w:br/>
      </w:r>
    </w:p>
    <w:p w14:paraId="78374D44" w14:textId="6FB00AD8" w:rsidR="00563885" w:rsidRDefault="00E6572D" w:rsidP="00563885">
      <w:pPr>
        <w:pStyle w:val="ListParagraph"/>
        <w:spacing w:after="0"/>
      </w:pPr>
      <w:r>
        <w:t>Current revision, ASTM B117-16</w:t>
      </w:r>
      <w:r w:rsidR="00CC45C6">
        <w:t xml:space="preserve">, </w:t>
      </w:r>
      <w:r w:rsidR="00563885" w:rsidRPr="00563885">
        <w:t>Section 10.2 states</w:t>
      </w:r>
      <w:r w:rsidR="00CC45C6">
        <w:t>,</w:t>
      </w:r>
      <w:r w:rsidR="00563885" w:rsidRPr="00563885">
        <w:t xml:space="preserve"> "Both sodium chloride concentration (measured as specific </w:t>
      </w:r>
      <w:proofErr w:type="gramStart"/>
      <w:r w:rsidR="00563885" w:rsidRPr="00563885">
        <w:t>gravity)...</w:t>
      </w:r>
      <w:proofErr w:type="gramEnd"/>
      <w:r w:rsidR="00563885" w:rsidRPr="00563885">
        <w:t>"</w:t>
      </w:r>
      <w:r w:rsidR="00CC45C6">
        <w:t xml:space="preserve">. </w:t>
      </w:r>
      <w:r w:rsidR="00563885" w:rsidRPr="00563885">
        <w:t xml:space="preserve">Note 10 removed all other methods entirely and only kept specific gravity. </w:t>
      </w:r>
    </w:p>
    <w:p w14:paraId="30B4035C" w14:textId="5BA6B61C" w:rsidR="0075079B" w:rsidRDefault="0075079B" w:rsidP="00563885">
      <w:pPr>
        <w:pStyle w:val="ListParagraph"/>
        <w:spacing w:after="0"/>
      </w:pPr>
    </w:p>
    <w:p w14:paraId="4BB505C1" w14:textId="03C111CE" w:rsidR="00690C26" w:rsidRDefault="00CC45C6" w:rsidP="00563885">
      <w:pPr>
        <w:pStyle w:val="ListParagraph"/>
        <w:spacing w:after="0"/>
      </w:pPr>
      <w:r>
        <w:t xml:space="preserve">A sub-team of </w:t>
      </w:r>
      <w:r w:rsidRPr="00CC45C6">
        <w:t xml:space="preserve">Hal Abel, Zia </w:t>
      </w:r>
      <w:proofErr w:type="spellStart"/>
      <w:r w:rsidRPr="00CC45C6">
        <w:t>Usmani</w:t>
      </w:r>
      <w:proofErr w:type="spellEnd"/>
      <w:r w:rsidRPr="00CC45C6">
        <w:t xml:space="preserve">, Nick </w:t>
      </w:r>
      <w:proofErr w:type="spellStart"/>
      <w:r w:rsidRPr="00CC45C6">
        <w:t>Magnapera</w:t>
      </w:r>
      <w:proofErr w:type="spellEnd"/>
      <w:r w:rsidRPr="00CC45C6">
        <w:t>, and Ethan Akins</w:t>
      </w:r>
      <w:r>
        <w:t xml:space="preserve"> attended the MTL meeting to discuss the issue with them as they also grant accreditation for salt spray testing. The result of the discussion was that the supplier must work to the method defined in the specification.</w:t>
      </w:r>
    </w:p>
    <w:p w14:paraId="0777388C" w14:textId="77777777" w:rsidR="00CC45C6" w:rsidRDefault="00CC45C6" w:rsidP="00563885">
      <w:pPr>
        <w:pStyle w:val="ListParagraph"/>
        <w:spacing w:after="0"/>
      </w:pPr>
    </w:p>
    <w:p w14:paraId="56FDD34E" w14:textId="4C47B3CE" w:rsidR="00EF7EBA" w:rsidRDefault="00EF7EBA" w:rsidP="00563885">
      <w:pPr>
        <w:pStyle w:val="ListParagraph"/>
        <w:spacing w:after="0"/>
        <w:rPr>
          <w:rFonts w:cs="Arial"/>
          <w:color w:val="333333"/>
          <w:szCs w:val="18"/>
          <w:shd w:val="clear" w:color="auto" w:fill="FFFFFF"/>
        </w:rPr>
      </w:pPr>
      <w:r w:rsidRPr="00EF7EBA">
        <w:rPr>
          <w:b/>
        </w:rPr>
        <w:t xml:space="preserve">(Robert) Audit 166106:  </w:t>
      </w:r>
      <w:r w:rsidRPr="00EF7EBA">
        <w:t>NCR 8</w:t>
      </w:r>
      <w:r>
        <w:t xml:space="preserve"> -</w:t>
      </w:r>
      <w:r w:rsidRPr="00EF7EBA">
        <w:rPr>
          <w:sz w:val="22"/>
        </w:rPr>
        <w:t xml:space="preserve"> </w:t>
      </w:r>
      <w:r w:rsidRPr="00EF7EBA">
        <w:rPr>
          <w:rFonts w:cs="Arial"/>
          <w:color w:val="333333"/>
          <w:szCs w:val="18"/>
          <w:shd w:val="clear" w:color="auto" w:fill="FFFFFF"/>
        </w:rPr>
        <w:t xml:space="preserve">MIL-DTL-5541 </w:t>
      </w:r>
      <w:r w:rsidRPr="00EF7EBA">
        <w:t>requires processing test coupons for salt spray test with hardware during an actual production run. Supplier sometimes runs test panels with and sometimes without hardware during an actual production run depending on whether production work is available when test panels are processed</w:t>
      </w:r>
      <w:r>
        <w:t xml:space="preserve">.  </w:t>
      </w:r>
      <w:r>
        <w:rPr>
          <w:rFonts w:cs="Arial"/>
          <w:color w:val="333333"/>
          <w:szCs w:val="18"/>
          <w:shd w:val="clear" w:color="auto" w:fill="FFFFFF"/>
        </w:rPr>
        <w:t>C</w:t>
      </w:r>
      <w:r w:rsidRPr="00EF7EBA">
        <w:rPr>
          <w:rFonts w:cs="Arial"/>
          <w:color w:val="333333"/>
          <w:szCs w:val="18"/>
          <w:shd w:val="clear" w:color="auto" w:fill="FFFFFF"/>
        </w:rPr>
        <w:t>larification from specification custodian</w:t>
      </w:r>
      <w:r>
        <w:rPr>
          <w:rFonts w:cs="Arial"/>
          <w:color w:val="333333"/>
          <w:szCs w:val="18"/>
          <w:shd w:val="clear" w:color="auto" w:fill="FFFFFF"/>
        </w:rPr>
        <w:t xml:space="preserve"> provided.</w:t>
      </w:r>
    </w:p>
    <w:p w14:paraId="75C9BE53" w14:textId="579763D9" w:rsidR="00686BF2" w:rsidRDefault="00686BF2" w:rsidP="00563885">
      <w:pPr>
        <w:pStyle w:val="ListParagraph"/>
        <w:spacing w:after="0"/>
        <w:rPr>
          <w:rFonts w:cs="Arial"/>
          <w:color w:val="333333"/>
          <w:szCs w:val="18"/>
          <w:shd w:val="clear" w:color="auto" w:fill="FFFFFF"/>
        </w:rPr>
      </w:pPr>
    </w:p>
    <w:p w14:paraId="65DE52AC" w14:textId="6AA04A0B" w:rsidR="00686BF2" w:rsidRDefault="00814768" w:rsidP="00563885">
      <w:pPr>
        <w:pStyle w:val="ListParagraph"/>
        <w:spacing w:after="0"/>
        <w:rPr>
          <w:rFonts w:cs="Arial"/>
          <w:color w:val="333333"/>
          <w:szCs w:val="18"/>
          <w:shd w:val="clear" w:color="auto" w:fill="FFFFFF"/>
        </w:rPr>
      </w:pPr>
      <w:r>
        <w:rPr>
          <w:rFonts w:cs="Arial"/>
          <w:color w:val="333333"/>
          <w:szCs w:val="18"/>
          <w:shd w:val="clear" w:color="auto" w:fill="FFFFFF"/>
        </w:rPr>
        <w:t xml:space="preserve">The Task Group concluded that </w:t>
      </w:r>
      <w:r w:rsidR="00686BF2">
        <w:rPr>
          <w:rFonts w:cs="Arial"/>
          <w:color w:val="333333"/>
          <w:szCs w:val="18"/>
          <w:shd w:val="clear" w:color="auto" w:fill="FFFFFF"/>
        </w:rPr>
        <w:t xml:space="preserve">panels should be run with hardware, if there is no hardware to run within the </w:t>
      </w:r>
      <w:r w:rsidR="00E713A8">
        <w:rPr>
          <w:rFonts w:cs="Arial"/>
          <w:color w:val="333333"/>
          <w:szCs w:val="18"/>
          <w:shd w:val="clear" w:color="auto" w:fill="FFFFFF"/>
        </w:rPr>
        <w:t>35-day</w:t>
      </w:r>
      <w:r w:rsidR="00686BF2">
        <w:rPr>
          <w:rFonts w:cs="Arial"/>
          <w:color w:val="333333"/>
          <w:szCs w:val="18"/>
          <w:shd w:val="clear" w:color="auto" w:fill="FFFFFF"/>
        </w:rPr>
        <w:t xml:space="preserve"> time frame</w:t>
      </w:r>
      <w:r>
        <w:rPr>
          <w:rFonts w:cs="Arial"/>
          <w:color w:val="333333"/>
          <w:szCs w:val="18"/>
          <w:shd w:val="clear" w:color="auto" w:fill="FFFFFF"/>
        </w:rPr>
        <w:t xml:space="preserve"> then</w:t>
      </w:r>
      <w:r w:rsidR="00686BF2">
        <w:rPr>
          <w:rFonts w:cs="Arial"/>
          <w:color w:val="333333"/>
          <w:szCs w:val="18"/>
          <w:shd w:val="clear" w:color="auto" w:fill="FFFFFF"/>
        </w:rPr>
        <w:t xml:space="preserve"> panels </w:t>
      </w:r>
      <w:r>
        <w:rPr>
          <w:rFonts w:cs="Arial"/>
          <w:color w:val="333333"/>
          <w:szCs w:val="18"/>
          <w:shd w:val="clear" w:color="auto" w:fill="FFFFFF"/>
        </w:rPr>
        <w:t xml:space="preserve">should be </w:t>
      </w:r>
      <w:r w:rsidR="00686BF2">
        <w:rPr>
          <w:rFonts w:cs="Arial"/>
          <w:color w:val="333333"/>
          <w:szCs w:val="18"/>
          <w:shd w:val="clear" w:color="auto" w:fill="FFFFFF"/>
        </w:rPr>
        <w:t xml:space="preserve">run with the first run of hardware per specification.   </w:t>
      </w:r>
      <w:r>
        <w:rPr>
          <w:rFonts w:cs="Arial"/>
          <w:color w:val="333333"/>
          <w:szCs w:val="18"/>
          <w:shd w:val="clear" w:color="auto" w:fill="FFFFFF"/>
        </w:rPr>
        <w:t xml:space="preserve">There was </w:t>
      </w:r>
      <w:r w:rsidR="00E713A8">
        <w:rPr>
          <w:rFonts w:cs="Arial"/>
          <w:color w:val="333333"/>
          <w:szCs w:val="18"/>
          <w:shd w:val="clear" w:color="auto" w:fill="FFFFFF"/>
        </w:rPr>
        <w:t>discussion on</w:t>
      </w:r>
      <w:r>
        <w:rPr>
          <w:rFonts w:cs="Arial"/>
          <w:color w:val="333333"/>
          <w:szCs w:val="18"/>
          <w:shd w:val="clear" w:color="auto" w:fill="FFFFFF"/>
        </w:rPr>
        <w:t xml:space="preserve"> whether </w:t>
      </w:r>
      <w:r w:rsidR="00AD0D7F">
        <w:rPr>
          <w:rFonts w:cs="Arial"/>
          <w:color w:val="333333"/>
          <w:szCs w:val="18"/>
          <w:shd w:val="clear" w:color="auto" w:fill="FFFFFF"/>
        </w:rPr>
        <w:t>p</w:t>
      </w:r>
      <w:r w:rsidR="00686BF2">
        <w:rPr>
          <w:rFonts w:cs="Arial"/>
          <w:color w:val="333333"/>
          <w:szCs w:val="18"/>
          <w:shd w:val="clear" w:color="auto" w:fill="FFFFFF"/>
        </w:rPr>
        <w:t>anels could be run with scrap, if scrap was processed as actual hardware.</w:t>
      </w:r>
    </w:p>
    <w:p w14:paraId="47670942" w14:textId="77777777" w:rsidR="00C25264" w:rsidRDefault="00C25264" w:rsidP="006933CE">
      <w:pPr>
        <w:spacing w:after="0"/>
      </w:pPr>
    </w:p>
    <w:p w14:paraId="5CE739A9" w14:textId="6F849887" w:rsidR="00563885" w:rsidRDefault="00814768" w:rsidP="00E713A8">
      <w:pPr>
        <w:pStyle w:val="ActionItem"/>
      </w:pPr>
      <w:r w:rsidRPr="00A76013">
        <w:lastRenderedPageBreak/>
        <w:t xml:space="preserve">Action </w:t>
      </w:r>
      <w:r w:rsidRPr="006827E9">
        <w:t>Item</w:t>
      </w:r>
      <w:r>
        <w:rPr>
          <w:b w:val="0"/>
          <w:i w:val="0"/>
        </w:rPr>
        <w:t xml:space="preserve">: </w:t>
      </w:r>
      <w:r>
        <w:t>A sub</w:t>
      </w:r>
      <w:r w:rsidR="001B008C">
        <w:t>-</w:t>
      </w:r>
      <w:r>
        <w:t xml:space="preserve">team of </w:t>
      </w:r>
      <w:r w:rsidRPr="00200B61">
        <w:t>Steve Starr</w:t>
      </w:r>
      <w:r>
        <w:t xml:space="preserve"> (lead)</w:t>
      </w:r>
      <w:r w:rsidRPr="00200B61">
        <w:t xml:space="preserve">, </w:t>
      </w:r>
      <w:r w:rsidR="00200B61" w:rsidRPr="00200B61">
        <w:t xml:space="preserve">Dennis Reidy, Mike Coleman, Zia </w:t>
      </w:r>
      <w:proofErr w:type="spellStart"/>
      <w:r w:rsidR="00200B61" w:rsidRPr="00200B61">
        <w:t>Usami</w:t>
      </w:r>
      <w:proofErr w:type="spellEnd"/>
      <w:r w:rsidR="00200B61" w:rsidRPr="00200B61">
        <w:t xml:space="preserve">, Hal Abel, Nick </w:t>
      </w:r>
      <w:proofErr w:type="spellStart"/>
      <w:r w:rsidR="00200B61" w:rsidRPr="00200B61">
        <w:t>Magnapera</w:t>
      </w:r>
      <w:proofErr w:type="spellEnd"/>
      <w:r>
        <w:t xml:space="preserve"> </w:t>
      </w:r>
      <w:r w:rsidR="00200B61">
        <w:t>Jim Cummings</w:t>
      </w:r>
      <w:r w:rsidR="001D0C5A">
        <w:t xml:space="preserve"> and </w:t>
      </w:r>
      <w:r w:rsidR="005A0C58">
        <w:t xml:space="preserve">Robert </w:t>
      </w:r>
      <w:proofErr w:type="spellStart"/>
      <w:r w:rsidR="005A0C58">
        <w:t>Nixon</w:t>
      </w:r>
      <w:r>
        <w:t>was</w:t>
      </w:r>
      <w:proofErr w:type="spellEnd"/>
      <w:r>
        <w:t xml:space="preserve"> appointed </w:t>
      </w:r>
      <w:r w:rsidR="00E713A8">
        <w:t xml:space="preserve">to </w:t>
      </w:r>
      <w:r w:rsidR="00E713A8" w:rsidRPr="00200B61">
        <w:t>draft</w:t>
      </w:r>
      <w:r w:rsidRPr="00814768">
        <w:t xml:space="preserve"> a proposal to </w:t>
      </w:r>
      <w:r w:rsidR="00E713A8" w:rsidRPr="00814768">
        <w:t>relevant</w:t>
      </w:r>
      <w:r w:rsidRPr="00814768">
        <w:t xml:space="preserve"> </w:t>
      </w:r>
      <w:r w:rsidR="00E713A8" w:rsidRPr="00814768">
        <w:t>committees</w:t>
      </w:r>
      <w:r w:rsidRPr="00814768">
        <w:t xml:space="preserve"> to ame</w:t>
      </w:r>
      <w:r>
        <w:t>nd MIL-8625 and MIL-DTL-5541 r</w:t>
      </w:r>
      <w:r w:rsidRPr="00814768">
        <w:t xml:space="preserve">egarding </w:t>
      </w:r>
      <w:r>
        <w:t xml:space="preserve">the </w:t>
      </w:r>
      <w:r w:rsidRPr="00814768">
        <w:t>need to process panels with production parts</w:t>
      </w:r>
      <w:r>
        <w:t xml:space="preserve"> and what constituted “production</w:t>
      </w:r>
      <w:r w:rsidR="00E713A8">
        <w:t>”</w:t>
      </w:r>
      <w:r w:rsidR="00E713A8" w:rsidRPr="00814768">
        <w:t>.</w:t>
      </w:r>
      <w:r w:rsidR="00E713A8">
        <w:t xml:space="preserve"> (</w:t>
      </w:r>
      <w:r>
        <w:t>Due Date: 20-Oct-2016)</w:t>
      </w:r>
    </w:p>
    <w:p w14:paraId="7286D6F3" w14:textId="77777777" w:rsidR="00D51258" w:rsidRDefault="00D51258" w:rsidP="009610A4">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REVIEW OF THE ROLLING ACTION ITEM LIST (RAIL)</w:t>
      </w:r>
    </w:p>
    <w:p w14:paraId="7286D6F4" w14:textId="1A324553" w:rsidR="00D51258" w:rsidRDefault="00D51258" w:rsidP="00D51258">
      <w:pPr>
        <w:pStyle w:val="Body"/>
      </w:pPr>
      <w:r>
        <w:t>Ethan Akins reviewed the CPTG RAIL</w:t>
      </w:r>
      <w:r w:rsidR="00FF11CA">
        <w:t>.</w:t>
      </w:r>
    </w:p>
    <w:p w14:paraId="159A524D" w14:textId="6F528866" w:rsidR="00FF11CA" w:rsidRDefault="00FF11CA" w:rsidP="00D51258">
      <w:pPr>
        <w:pStyle w:val="Body"/>
      </w:pPr>
      <w:r>
        <w:t>Closed Item Numbers -</w:t>
      </w:r>
      <w:r w:rsidRPr="00FF11CA">
        <w:t>18, 47, 146, 188, 192, 194, 204,</w:t>
      </w:r>
      <w:r w:rsidR="00686BF2">
        <w:t xml:space="preserve"> 206,</w:t>
      </w:r>
      <w:r w:rsidRPr="00FF11CA">
        <w:t xml:space="preserve"> 209, 210, 211, 215, 216, 217</w:t>
      </w:r>
    </w:p>
    <w:p w14:paraId="7286D6F5" w14:textId="77777777" w:rsidR="009610A4" w:rsidRPr="009610A4" w:rsidRDefault="009610A4" w:rsidP="009610A4">
      <w:pPr>
        <w:keepNext/>
        <w:keepLines/>
        <w:numPr>
          <w:ilvl w:val="0"/>
          <w:numId w:val="1"/>
        </w:numPr>
        <w:tabs>
          <w:tab w:val="num" w:pos="1170"/>
        </w:tabs>
        <w:ind w:left="709" w:hanging="709"/>
        <w:outlineLvl w:val="0"/>
        <w:rPr>
          <w:rFonts w:eastAsiaTheme="majorEastAsia" w:cstheme="majorBidi"/>
          <w:b/>
          <w:bCs/>
          <w:caps/>
          <w:szCs w:val="28"/>
        </w:rPr>
      </w:pPr>
      <w:r w:rsidRPr="009610A4">
        <w:rPr>
          <w:rFonts w:eastAsiaTheme="majorEastAsia" w:cstheme="majorBidi"/>
          <w:b/>
          <w:bCs/>
          <w:caps/>
          <w:szCs w:val="28"/>
        </w:rPr>
        <w:t>VOTING MEMBER APPROVAL &amp; COMPLIANCE WITH VOTING REQUIREMENTS – OPEN</w:t>
      </w:r>
    </w:p>
    <w:p w14:paraId="7286D6F6" w14:textId="77777777" w:rsidR="009610A4" w:rsidRPr="009610A4" w:rsidRDefault="009610A4" w:rsidP="009610A4">
      <w:pPr>
        <w:ind w:left="720"/>
      </w:pPr>
      <w:r w:rsidRPr="009610A4">
        <w:t>The following requests for voting membership were received:</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282"/>
        <w:gridCol w:w="1440"/>
        <w:gridCol w:w="1643"/>
        <w:gridCol w:w="1595"/>
        <w:gridCol w:w="1172"/>
        <w:gridCol w:w="1283"/>
      </w:tblGrid>
      <w:tr w:rsidR="00812BDE" w:rsidRPr="009610A4" w14:paraId="7286D6FE" w14:textId="77777777" w:rsidTr="00451353">
        <w:trPr>
          <w:trHeight w:val="719"/>
        </w:trPr>
        <w:tc>
          <w:tcPr>
            <w:tcW w:w="783" w:type="dxa"/>
            <w:shd w:val="clear" w:color="auto" w:fill="auto"/>
          </w:tcPr>
          <w:p w14:paraId="7286D6F7" w14:textId="77777777" w:rsidR="009610A4" w:rsidRPr="009610A4" w:rsidRDefault="009610A4" w:rsidP="009610A4">
            <w:pPr>
              <w:rPr>
                <w:rFonts w:cs="Arial"/>
                <w:b/>
                <w:bCs/>
                <w:iCs/>
              </w:rPr>
            </w:pPr>
            <w:r w:rsidRPr="009610A4">
              <w:rPr>
                <w:rFonts w:cs="Arial"/>
                <w:b/>
                <w:bCs/>
                <w:iCs/>
              </w:rPr>
              <w:t>Title</w:t>
            </w:r>
          </w:p>
        </w:tc>
        <w:tc>
          <w:tcPr>
            <w:tcW w:w="1282" w:type="dxa"/>
            <w:shd w:val="clear" w:color="auto" w:fill="auto"/>
          </w:tcPr>
          <w:p w14:paraId="7286D6F8" w14:textId="77777777" w:rsidR="009610A4" w:rsidRDefault="009610A4" w:rsidP="009610A4">
            <w:pPr>
              <w:jc w:val="center"/>
              <w:rPr>
                <w:rFonts w:cs="Arial"/>
                <w:b/>
                <w:bCs/>
                <w:iCs/>
              </w:rPr>
            </w:pPr>
            <w:r w:rsidRPr="009610A4">
              <w:rPr>
                <w:rFonts w:cs="Arial"/>
                <w:b/>
                <w:bCs/>
                <w:iCs/>
              </w:rPr>
              <w:t>First Name</w:t>
            </w:r>
          </w:p>
          <w:p w14:paraId="7286D6F9" w14:textId="77777777" w:rsidR="001A4305" w:rsidRPr="009610A4" w:rsidRDefault="001A4305" w:rsidP="009610A4">
            <w:pPr>
              <w:jc w:val="center"/>
              <w:rPr>
                <w:rFonts w:cs="Arial"/>
                <w:b/>
                <w:bCs/>
                <w:iCs/>
              </w:rPr>
            </w:pPr>
          </w:p>
        </w:tc>
        <w:tc>
          <w:tcPr>
            <w:tcW w:w="1440" w:type="dxa"/>
            <w:shd w:val="clear" w:color="auto" w:fill="auto"/>
          </w:tcPr>
          <w:p w14:paraId="7286D6FA" w14:textId="77777777" w:rsidR="009610A4" w:rsidRPr="009610A4" w:rsidRDefault="009610A4" w:rsidP="009610A4">
            <w:pPr>
              <w:jc w:val="center"/>
              <w:rPr>
                <w:rFonts w:cs="Arial"/>
                <w:b/>
                <w:bCs/>
                <w:iCs/>
              </w:rPr>
            </w:pPr>
            <w:r w:rsidRPr="009610A4">
              <w:rPr>
                <w:rFonts w:cs="Arial"/>
                <w:b/>
                <w:bCs/>
                <w:iCs/>
              </w:rPr>
              <w:t>Surname</w:t>
            </w:r>
          </w:p>
        </w:tc>
        <w:tc>
          <w:tcPr>
            <w:tcW w:w="1643" w:type="dxa"/>
            <w:shd w:val="clear" w:color="auto" w:fill="auto"/>
          </w:tcPr>
          <w:p w14:paraId="7286D6FB" w14:textId="77777777" w:rsidR="009610A4" w:rsidRPr="009610A4" w:rsidRDefault="009610A4" w:rsidP="009610A4">
            <w:pPr>
              <w:jc w:val="center"/>
              <w:rPr>
                <w:rFonts w:cs="Arial"/>
                <w:b/>
                <w:bCs/>
                <w:iCs/>
              </w:rPr>
            </w:pPr>
            <w:r w:rsidRPr="009610A4">
              <w:rPr>
                <w:rFonts w:cs="Arial"/>
                <w:b/>
                <w:bCs/>
                <w:iCs/>
              </w:rPr>
              <w:t>Company</w:t>
            </w:r>
          </w:p>
        </w:tc>
        <w:tc>
          <w:tcPr>
            <w:tcW w:w="1595" w:type="dxa"/>
            <w:shd w:val="clear" w:color="auto" w:fill="auto"/>
          </w:tcPr>
          <w:p w14:paraId="7286D6FC" w14:textId="77777777" w:rsidR="009610A4" w:rsidRPr="009610A4" w:rsidRDefault="009610A4" w:rsidP="009610A4">
            <w:pPr>
              <w:jc w:val="center"/>
              <w:rPr>
                <w:rFonts w:cs="Arial"/>
                <w:b/>
                <w:bCs/>
                <w:iCs/>
              </w:rPr>
            </w:pPr>
            <w:r w:rsidRPr="009610A4">
              <w:rPr>
                <w:rFonts w:cs="Arial"/>
                <w:b/>
                <w:bCs/>
                <w:iCs/>
              </w:rPr>
              <w:t>Voting Member Type</w:t>
            </w:r>
          </w:p>
        </w:tc>
        <w:tc>
          <w:tcPr>
            <w:tcW w:w="2455" w:type="dxa"/>
            <w:gridSpan w:val="2"/>
            <w:shd w:val="clear" w:color="auto" w:fill="auto"/>
          </w:tcPr>
          <w:p w14:paraId="7286D6FD" w14:textId="77777777" w:rsidR="009610A4" w:rsidRPr="009610A4" w:rsidRDefault="009610A4" w:rsidP="009610A4">
            <w:pPr>
              <w:jc w:val="center"/>
              <w:rPr>
                <w:rFonts w:cs="Arial"/>
                <w:b/>
                <w:bCs/>
                <w:iCs/>
              </w:rPr>
            </w:pPr>
            <w:r w:rsidRPr="009610A4">
              <w:rPr>
                <w:rFonts w:cs="Arial"/>
                <w:b/>
                <w:bCs/>
                <w:iCs/>
              </w:rPr>
              <w:t>Meetings Attended</w:t>
            </w:r>
            <w:r w:rsidRPr="009610A4">
              <w:rPr>
                <w:rFonts w:cs="Arial"/>
                <w:b/>
                <w:bCs/>
                <w:iCs/>
              </w:rPr>
              <w:br/>
              <w:t>(Month/Year)</w:t>
            </w:r>
          </w:p>
        </w:tc>
      </w:tr>
      <w:tr w:rsidR="005E24D6" w:rsidRPr="009610A4" w14:paraId="7286D706" w14:textId="77777777" w:rsidTr="00451353">
        <w:tc>
          <w:tcPr>
            <w:tcW w:w="783" w:type="dxa"/>
            <w:shd w:val="clear" w:color="auto" w:fill="auto"/>
          </w:tcPr>
          <w:p w14:paraId="7286D6FF" w14:textId="07B8DA9D" w:rsidR="00A33C7D" w:rsidRDefault="00FC33B4" w:rsidP="009610A4">
            <w:pPr>
              <w:rPr>
                <w:rFonts w:cs="Arial"/>
                <w:bCs/>
                <w:iCs/>
              </w:rPr>
            </w:pPr>
            <w:r>
              <w:rPr>
                <w:rFonts w:cs="Arial"/>
                <w:bCs/>
                <w:iCs/>
              </w:rPr>
              <w:t>Mr.</w:t>
            </w:r>
          </w:p>
        </w:tc>
        <w:tc>
          <w:tcPr>
            <w:tcW w:w="1282" w:type="dxa"/>
            <w:shd w:val="clear" w:color="auto" w:fill="auto"/>
          </w:tcPr>
          <w:p w14:paraId="7286D700" w14:textId="4471DB5C" w:rsidR="00A33C7D" w:rsidRDefault="00C57913" w:rsidP="006E3D24">
            <w:pPr>
              <w:jc w:val="both"/>
              <w:rPr>
                <w:rFonts w:cs="Arial"/>
                <w:bCs/>
                <w:iCs/>
              </w:rPr>
            </w:pPr>
            <w:r>
              <w:rPr>
                <w:rFonts w:cs="Arial"/>
                <w:bCs/>
                <w:iCs/>
              </w:rPr>
              <w:t>Srinivasan</w:t>
            </w:r>
          </w:p>
        </w:tc>
        <w:tc>
          <w:tcPr>
            <w:tcW w:w="1440" w:type="dxa"/>
            <w:shd w:val="clear" w:color="auto" w:fill="auto"/>
          </w:tcPr>
          <w:p w14:paraId="7286D701" w14:textId="63E998EE" w:rsidR="00A33C7D" w:rsidRPr="00A33C7D" w:rsidRDefault="00C57913" w:rsidP="009610A4">
            <w:pPr>
              <w:rPr>
                <w:rFonts w:cs="Arial"/>
                <w:bCs/>
                <w:iCs/>
              </w:rPr>
            </w:pPr>
            <w:proofErr w:type="spellStart"/>
            <w:r>
              <w:rPr>
                <w:rFonts w:cs="Arial"/>
                <w:bCs/>
                <w:iCs/>
              </w:rPr>
              <w:t>Ranganathan</w:t>
            </w:r>
            <w:proofErr w:type="spellEnd"/>
          </w:p>
        </w:tc>
        <w:tc>
          <w:tcPr>
            <w:tcW w:w="1643" w:type="dxa"/>
            <w:shd w:val="clear" w:color="auto" w:fill="auto"/>
          </w:tcPr>
          <w:p w14:paraId="7286D702" w14:textId="3304E003" w:rsidR="00A33C7D" w:rsidRDefault="00C57913">
            <w:pPr>
              <w:rPr>
                <w:rFonts w:cs="Arial"/>
                <w:bCs/>
                <w:iCs/>
              </w:rPr>
            </w:pPr>
            <w:r>
              <w:rPr>
                <w:rFonts w:cs="Arial"/>
                <w:bCs/>
                <w:iCs/>
              </w:rPr>
              <w:t>ST Aerospace</w:t>
            </w:r>
          </w:p>
        </w:tc>
        <w:tc>
          <w:tcPr>
            <w:tcW w:w="1595" w:type="dxa"/>
            <w:shd w:val="clear" w:color="auto" w:fill="auto"/>
          </w:tcPr>
          <w:p w14:paraId="7286D703" w14:textId="15F4F395" w:rsidR="00A33C7D" w:rsidRDefault="00CF0B7D">
            <w:pPr>
              <w:rPr>
                <w:rFonts w:cs="Arial"/>
                <w:bCs/>
                <w:iCs/>
              </w:rPr>
            </w:pPr>
            <w:r>
              <w:rPr>
                <w:rFonts w:cs="Arial"/>
                <w:bCs/>
                <w:iCs/>
              </w:rPr>
              <w:t>Subscriber Voting Member (</w:t>
            </w:r>
            <w:r w:rsidR="00F63DA9">
              <w:rPr>
                <w:rFonts w:cs="Arial"/>
                <w:bCs/>
                <w:iCs/>
              </w:rPr>
              <w:t>UVM</w:t>
            </w:r>
            <w:r>
              <w:rPr>
                <w:rFonts w:cs="Arial"/>
                <w:bCs/>
                <w:iCs/>
              </w:rPr>
              <w:t>)</w:t>
            </w:r>
          </w:p>
        </w:tc>
        <w:tc>
          <w:tcPr>
            <w:tcW w:w="1172" w:type="dxa"/>
            <w:shd w:val="clear" w:color="auto" w:fill="auto"/>
          </w:tcPr>
          <w:p w14:paraId="7286D704" w14:textId="5023A878" w:rsidR="00A33C7D" w:rsidRDefault="00C57913" w:rsidP="009610A4">
            <w:pPr>
              <w:rPr>
                <w:rFonts w:cs="Arial"/>
                <w:bCs/>
                <w:iCs/>
              </w:rPr>
            </w:pPr>
            <w:r>
              <w:rPr>
                <w:rFonts w:cs="Arial"/>
                <w:bCs/>
                <w:iCs/>
              </w:rPr>
              <w:t>Feb/2016</w:t>
            </w:r>
          </w:p>
        </w:tc>
        <w:tc>
          <w:tcPr>
            <w:tcW w:w="1283" w:type="dxa"/>
            <w:shd w:val="clear" w:color="auto" w:fill="auto"/>
          </w:tcPr>
          <w:p w14:paraId="7286D705" w14:textId="0BA9F63D" w:rsidR="00A33C7D" w:rsidRPr="00A33C7D" w:rsidRDefault="00C57913" w:rsidP="009610A4">
            <w:pPr>
              <w:rPr>
                <w:rFonts w:cs="Arial"/>
                <w:bCs/>
                <w:iCs/>
              </w:rPr>
            </w:pPr>
            <w:r>
              <w:rPr>
                <w:rFonts w:cs="Arial"/>
                <w:bCs/>
                <w:iCs/>
              </w:rPr>
              <w:t>June/2016</w:t>
            </w:r>
          </w:p>
        </w:tc>
      </w:tr>
      <w:tr w:rsidR="00BB7FF5" w:rsidRPr="009610A4" w14:paraId="540DB159" w14:textId="77777777" w:rsidTr="00451353">
        <w:tc>
          <w:tcPr>
            <w:tcW w:w="783" w:type="dxa"/>
            <w:shd w:val="clear" w:color="auto" w:fill="auto"/>
          </w:tcPr>
          <w:p w14:paraId="0F45D56F" w14:textId="6978B458" w:rsidR="00BB7FF5" w:rsidRDefault="00FC33B4" w:rsidP="009610A4">
            <w:pPr>
              <w:rPr>
                <w:rFonts w:cs="Arial"/>
                <w:bCs/>
                <w:iCs/>
              </w:rPr>
            </w:pPr>
            <w:r>
              <w:rPr>
                <w:rFonts w:cs="Arial"/>
                <w:bCs/>
                <w:iCs/>
              </w:rPr>
              <w:t>Mr.</w:t>
            </w:r>
          </w:p>
        </w:tc>
        <w:tc>
          <w:tcPr>
            <w:tcW w:w="1282" w:type="dxa"/>
            <w:shd w:val="clear" w:color="auto" w:fill="auto"/>
          </w:tcPr>
          <w:p w14:paraId="0519ACC3" w14:textId="16629F71" w:rsidR="00BB7FF5" w:rsidRDefault="005B4D92" w:rsidP="006E3D24">
            <w:pPr>
              <w:jc w:val="both"/>
              <w:rPr>
                <w:rFonts w:cs="Arial"/>
                <w:bCs/>
                <w:iCs/>
              </w:rPr>
            </w:pPr>
            <w:proofErr w:type="spellStart"/>
            <w:r w:rsidRPr="005B4D92">
              <w:rPr>
                <w:rFonts w:cs="Arial"/>
                <w:bCs/>
                <w:iCs/>
              </w:rPr>
              <w:t>Frédéric</w:t>
            </w:r>
            <w:proofErr w:type="spellEnd"/>
          </w:p>
        </w:tc>
        <w:tc>
          <w:tcPr>
            <w:tcW w:w="1440" w:type="dxa"/>
            <w:shd w:val="clear" w:color="auto" w:fill="auto"/>
          </w:tcPr>
          <w:p w14:paraId="45057979" w14:textId="7507AFA0" w:rsidR="00BB7FF5" w:rsidRDefault="005B4D92" w:rsidP="009610A4">
            <w:pPr>
              <w:rPr>
                <w:rFonts w:cs="Arial"/>
                <w:bCs/>
                <w:iCs/>
              </w:rPr>
            </w:pPr>
            <w:r w:rsidRPr="005B4D92">
              <w:rPr>
                <w:rFonts w:cs="Arial"/>
                <w:bCs/>
                <w:iCs/>
              </w:rPr>
              <w:t>DUHAMEL</w:t>
            </w:r>
          </w:p>
        </w:tc>
        <w:tc>
          <w:tcPr>
            <w:tcW w:w="1643" w:type="dxa"/>
            <w:shd w:val="clear" w:color="auto" w:fill="auto"/>
          </w:tcPr>
          <w:p w14:paraId="7E11FF7B" w14:textId="145D366D" w:rsidR="00BB7FF5" w:rsidRDefault="005B4D92">
            <w:pPr>
              <w:rPr>
                <w:rFonts w:cs="Arial"/>
                <w:bCs/>
                <w:iCs/>
              </w:rPr>
            </w:pPr>
            <w:r>
              <w:rPr>
                <w:rFonts w:cs="Arial"/>
                <w:bCs/>
                <w:iCs/>
              </w:rPr>
              <w:t>Thales</w:t>
            </w:r>
          </w:p>
        </w:tc>
        <w:tc>
          <w:tcPr>
            <w:tcW w:w="1595" w:type="dxa"/>
            <w:shd w:val="clear" w:color="auto" w:fill="auto"/>
          </w:tcPr>
          <w:p w14:paraId="1382FA70" w14:textId="5B235F64" w:rsidR="00BB7FF5" w:rsidRDefault="00CF0B7D">
            <w:pPr>
              <w:rPr>
                <w:rFonts w:cs="Arial"/>
                <w:bCs/>
                <w:iCs/>
              </w:rPr>
            </w:pPr>
            <w:r>
              <w:rPr>
                <w:rFonts w:cs="Arial"/>
                <w:bCs/>
                <w:iCs/>
              </w:rPr>
              <w:t>Subscriber Voting Member (</w:t>
            </w:r>
            <w:r w:rsidR="005B4D92">
              <w:rPr>
                <w:rFonts w:cs="Arial"/>
                <w:bCs/>
                <w:iCs/>
              </w:rPr>
              <w:t>UVM</w:t>
            </w:r>
            <w:r>
              <w:rPr>
                <w:rFonts w:cs="Arial"/>
                <w:bCs/>
                <w:iCs/>
              </w:rPr>
              <w:t>)</w:t>
            </w:r>
          </w:p>
        </w:tc>
        <w:tc>
          <w:tcPr>
            <w:tcW w:w="1172" w:type="dxa"/>
            <w:shd w:val="clear" w:color="auto" w:fill="auto"/>
          </w:tcPr>
          <w:p w14:paraId="22CE4BC5" w14:textId="756348CA" w:rsidR="00BB7FF5" w:rsidRDefault="005B4D92" w:rsidP="009610A4">
            <w:pPr>
              <w:rPr>
                <w:rFonts w:cs="Arial"/>
                <w:bCs/>
                <w:iCs/>
              </w:rPr>
            </w:pPr>
            <w:r>
              <w:rPr>
                <w:rFonts w:cs="Arial"/>
                <w:bCs/>
                <w:iCs/>
              </w:rPr>
              <w:t>Oct/2015</w:t>
            </w:r>
          </w:p>
        </w:tc>
        <w:tc>
          <w:tcPr>
            <w:tcW w:w="1283" w:type="dxa"/>
            <w:shd w:val="clear" w:color="auto" w:fill="auto"/>
          </w:tcPr>
          <w:p w14:paraId="5F3D7711" w14:textId="3A5843B2" w:rsidR="00BB7FF5" w:rsidRDefault="005B4D92" w:rsidP="009610A4">
            <w:pPr>
              <w:rPr>
                <w:rFonts w:cs="Arial"/>
                <w:bCs/>
                <w:iCs/>
              </w:rPr>
            </w:pPr>
            <w:r>
              <w:rPr>
                <w:rFonts w:cs="Arial"/>
                <w:bCs/>
                <w:iCs/>
              </w:rPr>
              <w:t>Feb/2016</w:t>
            </w:r>
          </w:p>
        </w:tc>
      </w:tr>
    </w:tbl>
    <w:p w14:paraId="7286D707" w14:textId="77777777" w:rsidR="009610A4" w:rsidRPr="009610A4" w:rsidRDefault="009610A4" w:rsidP="009610A4">
      <w:pPr>
        <w:spacing w:after="0"/>
        <w:ind w:left="720"/>
      </w:pPr>
    </w:p>
    <w:p w14:paraId="7286D708" w14:textId="77B38998" w:rsidR="00E62FD4" w:rsidRPr="00325E5E" w:rsidRDefault="009610A4" w:rsidP="00E713A8">
      <w:pPr>
        <w:pStyle w:val="Body"/>
      </w:pPr>
      <w:r w:rsidRPr="00325E5E">
        <w:t xml:space="preserve">Motion made by </w:t>
      </w:r>
      <w:r w:rsidR="00435603" w:rsidRPr="00325E5E">
        <w:t>Hal Abel</w:t>
      </w:r>
      <w:r w:rsidRPr="00325E5E">
        <w:t xml:space="preserve"> and seconded by</w:t>
      </w:r>
      <w:r w:rsidR="00435603" w:rsidRPr="00325E5E">
        <w:t xml:space="preserve"> Stephen </w:t>
      </w:r>
      <w:r w:rsidR="00E713A8" w:rsidRPr="00325E5E">
        <w:t>Judge to</w:t>
      </w:r>
      <w:r w:rsidRPr="00325E5E">
        <w:t xml:space="preserve"> approve the above voting member</w:t>
      </w:r>
      <w:r w:rsidR="00E236A4" w:rsidRPr="00325E5E">
        <w:t>s</w:t>
      </w:r>
      <w:r w:rsidRPr="00325E5E">
        <w:t xml:space="preserve">. Motion </w:t>
      </w:r>
      <w:r w:rsidR="00FC33B4">
        <w:t>p</w:t>
      </w:r>
      <w:r w:rsidRPr="00325E5E">
        <w:t>assed</w:t>
      </w:r>
      <w:r w:rsidR="00B53FD4" w:rsidRPr="00325E5E">
        <w:t>.</w:t>
      </w:r>
    </w:p>
    <w:p w14:paraId="7286D709" w14:textId="77777777" w:rsidR="002B3C14" w:rsidRDefault="006E3D24" w:rsidP="002B3C14">
      <w:pPr>
        <w:ind w:left="720"/>
      </w:pPr>
      <w:r>
        <w:t xml:space="preserve">The meeting </w:t>
      </w:r>
      <w:r w:rsidR="008329E0">
        <w:t>attendees were</w:t>
      </w:r>
      <w:r>
        <w:t xml:space="preserve"> requested to submit requests to become voting members using m-frm-01 at least 2 weeks prior to the meeting.</w:t>
      </w:r>
      <w:r w:rsidR="002B3C14" w:rsidRPr="002B3C14">
        <w:t xml:space="preserve"> </w:t>
      </w:r>
    </w:p>
    <w:p w14:paraId="7286D70A" w14:textId="77777777" w:rsidR="002B3C14" w:rsidRDefault="002B3C14" w:rsidP="002B3C14">
      <w:pPr>
        <w:ind w:left="720"/>
      </w:pPr>
      <w:r>
        <w:t>The</w:t>
      </w:r>
      <w:r w:rsidRPr="007C56EB">
        <w:t xml:space="preserve"> </w:t>
      </w:r>
      <w:r w:rsidRPr="009F46F5">
        <w:t>compliance to voting requirements</w:t>
      </w:r>
      <w:r>
        <w:t xml:space="preserve"> or present voting members was reviewed. </w:t>
      </w:r>
    </w:p>
    <w:p w14:paraId="7286D70B" w14:textId="77777777" w:rsidR="009F46F5" w:rsidRDefault="00535123" w:rsidP="009F46F5">
      <w:pPr>
        <w:pStyle w:val="ActionItem"/>
      </w:pPr>
      <w:r>
        <w:t>ACTION ITEM</w:t>
      </w:r>
      <w:r w:rsidR="009F46F5">
        <w:t xml:space="preserve">: Nigel Cook to arrange for </w:t>
      </w:r>
      <w:proofErr w:type="spellStart"/>
      <w:r w:rsidR="009F46F5">
        <w:t>eAuditNet</w:t>
      </w:r>
      <w:proofErr w:type="spellEnd"/>
      <w:r w:rsidR="009F46F5">
        <w:t xml:space="preserve"> to be updated for the new voting members</w:t>
      </w:r>
      <w:r w:rsidR="002B3C14">
        <w:t xml:space="preserve"> and removal of voting members who have not met requirements</w:t>
      </w:r>
      <w:r w:rsidR="009F46F5">
        <w:t>. (</w:t>
      </w:r>
      <w:r w:rsidR="002A6712">
        <w:t>Due Date</w:t>
      </w:r>
      <w:r w:rsidR="009F46F5">
        <w:t>: 15-</w:t>
      </w:r>
      <w:r w:rsidR="00D51258">
        <w:t>Jul</w:t>
      </w:r>
      <w:r w:rsidR="009F46F5">
        <w:t>-2015)</w:t>
      </w:r>
    </w:p>
    <w:p w14:paraId="7286D70C" w14:textId="3B5DB729" w:rsidR="00C05769" w:rsidRDefault="00155D53" w:rsidP="00017943">
      <w:pPr>
        <w:ind w:left="720"/>
      </w:pPr>
      <w:r>
        <w:t>Ethan Akins</w:t>
      </w:r>
      <w:r w:rsidR="00C05769" w:rsidRPr="009610A4">
        <w:t xml:space="preserve"> </w:t>
      </w:r>
      <w:r w:rsidR="00C05769">
        <w:t>reviewed the presentation</w:t>
      </w:r>
      <w:r w:rsidR="00C05769" w:rsidRPr="009610A4">
        <w:t xml:space="preserve"> on the </w:t>
      </w:r>
      <w:r w:rsidR="00C05769" w:rsidRPr="00783798">
        <w:t>Supplier Mentoring Program</w:t>
      </w:r>
      <w:r w:rsidR="00C05769" w:rsidRPr="009610A4">
        <w:t>.</w:t>
      </w:r>
      <w:r w:rsidR="00124E96">
        <w:t xml:space="preserve"> </w:t>
      </w:r>
    </w:p>
    <w:p w14:paraId="7286D70D" w14:textId="77777777" w:rsidR="00E62FD4" w:rsidRDefault="004922A8" w:rsidP="00E62FD4">
      <w:pPr>
        <w:pStyle w:val="Heading1"/>
      </w:pPr>
      <w:bookmarkStart w:id="94" w:name="_Toc383078219"/>
      <w:bookmarkStart w:id="95" w:name="_Toc383078455"/>
      <w:bookmarkStart w:id="96" w:name="_Toc383163814"/>
      <w:bookmarkStart w:id="97" w:name="_Toc384042805"/>
      <w:bookmarkStart w:id="98" w:name="_Toc388531054"/>
      <w:bookmarkStart w:id="99" w:name="_Toc388531301"/>
      <w:bookmarkStart w:id="100" w:name="_Toc388534219"/>
      <w:bookmarkStart w:id="101" w:name="_Toc390067097"/>
      <w:bookmarkStart w:id="102" w:name="_Toc392158410"/>
      <w:bookmarkStart w:id="103" w:name="_Toc393438913"/>
      <w:bookmarkStart w:id="104" w:name="_Toc393441877"/>
      <w:bookmarkStart w:id="105" w:name="_Toc393442064"/>
      <w:bookmarkStart w:id="106" w:name="_Toc403115975"/>
      <w:bookmarkStart w:id="107" w:name="_Toc403466344"/>
      <w:bookmarkStart w:id="108" w:name="_Toc403466545"/>
      <w:bookmarkStart w:id="109" w:name="_Toc403466881"/>
      <w:bookmarkStart w:id="110" w:name="_Toc403467000"/>
      <w:bookmarkStart w:id="111" w:name="_Toc410024221"/>
      <w:bookmarkStart w:id="112" w:name="_Toc414973841"/>
      <w:bookmarkStart w:id="113" w:name="_Toc415125203"/>
      <w:bookmarkStart w:id="114" w:name="_Toc415125623"/>
      <w:bookmarkStart w:id="115" w:name="_Toc420575661"/>
      <w:bookmarkStart w:id="116" w:name="_Toc424207200"/>
      <w:bookmarkStart w:id="117" w:name="_Toc424209329"/>
      <w:r w:rsidRPr="00783798">
        <w:t>Checklist Strategic Plan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E62FD4">
        <w:t xml:space="preserve"> – Open</w:t>
      </w:r>
    </w:p>
    <w:p w14:paraId="7286D70E" w14:textId="77777777" w:rsidR="008329E0" w:rsidRDefault="004922A8" w:rsidP="008314B2">
      <w:pPr>
        <w:pStyle w:val="Body"/>
      </w:pPr>
      <w:r>
        <w:t>Nigel Cook</w:t>
      </w:r>
      <w:r w:rsidR="008314B2">
        <w:t xml:space="preserve"> reviewed the present status of the checklist strategic plan. </w:t>
      </w:r>
    </w:p>
    <w:p w14:paraId="29D8D0EA" w14:textId="27937182" w:rsidR="00FA6641" w:rsidRDefault="00FA6641" w:rsidP="008314B2">
      <w:pPr>
        <w:pStyle w:val="Body"/>
      </w:pPr>
      <w:r>
        <w:t>All the checklists have been issued and became effective for audits starting on/after 5</w:t>
      </w:r>
      <w:r w:rsidR="00F82B6D">
        <w:t>-</w:t>
      </w:r>
      <w:r>
        <w:t>Jun</w:t>
      </w:r>
      <w:r w:rsidR="00F82B6D">
        <w:t>-</w:t>
      </w:r>
      <w:r>
        <w:t>2016.</w:t>
      </w:r>
    </w:p>
    <w:p w14:paraId="7286D70F" w14:textId="234F5E83" w:rsidR="008D5636" w:rsidRDefault="008D5636" w:rsidP="008314B2">
      <w:pPr>
        <w:pStyle w:val="Body"/>
      </w:pPr>
      <w:r>
        <w:t>There are a couple of issues related to both captive and sub-contract labs being audited using the AC7108/4 checklist.</w:t>
      </w:r>
      <w:r w:rsidR="00FA6641">
        <w:t xml:space="preserve"> Auditor Advisory CP-16-004 was issued to address these.</w:t>
      </w:r>
    </w:p>
    <w:p w14:paraId="2E6671C0" w14:textId="70ACD930" w:rsidR="00FA6641" w:rsidRDefault="00FA6641" w:rsidP="008314B2">
      <w:pPr>
        <w:pStyle w:val="Body"/>
      </w:pPr>
      <w:r>
        <w:t xml:space="preserve">Significant issues were encountered when attempting to update </w:t>
      </w:r>
      <w:r w:rsidR="00E713A8">
        <w:t>audit</w:t>
      </w:r>
      <w:r>
        <w:t xml:space="preserve"> scopes to the new checklist structure and re-programming of </w:t>
      </w:r>
      <w:proofErr w:type="spellStart"/>
      <w:r>
        <w:t>eAuditNet</w:t>
      </w:r>
      <w:proofErr w:type="spellEnd"/>
      <w:r>
        <w:t xml:space="preserve"> was required. The scopes of audits starting in June were manually updated.</w:t>
      </w:r>
    </w:p>
    <w:p w14:paraId="7286D710" w14:textId="4D7E32BE" w:rsidR="008D5636" w:rsidRDefault="004F1290" w:rsidP="008314B2">
      <w:pPr>
        <w:pStyle w:val="Body"/>
      </w:pPr>
      <w:r>
        <w:t xml:space="preserve">As comments are being received about issues with the checklists they are being added to Rolling Comments in </w:t>
      </w:r>
      <w:proofErr w:type="spellStart"/>
      <w:r>
        <w:t>eAuditNet</w:t>
      </w:r>
      <w:proofErr w:type="spellEnd"/>
      <w:r>
        <w:t xml:space="preserve"> for the specific checklist. (See Examples in AC7108 Rev H and AC7108/11 Rev NC)</w:t>
      </w:r>
    </w:p>
    <w:p w14:paraId="7D6D8986" w14:textId="3214FC87" w:rsidR="00155D53" w:rsidRPr="00315988" w:rsidRDefault="000513C8" w:rsidP="00E713A8">
      <w:pPr>
        <w:pStyle w:val="ActionItem"/>
      </w:pPr>
      <w:r w:rsidRPr="00315988">
        <w:t>ACTION</w:t>
      </w:r>
      <w:r>
        <w:t xml:space="preserve"> ITEM</w:t>
      </w:r>
      <w:r w:rsidR="00155D53" w:rsidRPr="00315988">
        <w:t xml:space="preserve">: Nigel Cook to Review </w:t>
      </w:r>
      <w:r>
        <w:t>a</w:t>
      </w:r>
      <w:r w:rsidR="00155D53" w:rsidRPr="00315988">
        <w:t>uditors</w:t>
      </w:r>
      <w:r>
        <w:t>’</w:t>
      </w:r>
      <w:r w:rsidR="00155D53" w:rsidRPr="00315988">
        <w:t xml:space="preserve"> feedback on the </w:t>
      </w:r>
      <w:r>
        <w:t xml:space="preserve">new </w:t>
      </w:r>
      <w:r w:rsidR="00155D53" w:rsidRPr="00315988">
        <w:t>checklists at the auditor conference</w:t>
      </w:r>
      <w:r>
        <w:t xml:space="preserve"> and report back to the open meeting. (Due Date:</w:t>
      </w:r>
      <w:r w:rsidR="00155D53" w:rsidRPr="00315988">
        <w:t xml:space="preserve"> </w:t>
      </w:r>
      <w:r>
        <w:t>20-</w:t>
      </w:r>
      <w:r w:rsidR="00155D53" w:rsidRPr="00315988">
        <w:t>Oct</w:t>
      </w:r>
      <w:r>
        <w:t>-</w:t>
      </w:r>
      <w:r w:rsidR="00155D53" w:rsidRPr="00315988">
        <w:t>2016</w:t>
      </w:r>
      <w:r w:rsidR="00F17145">
        <w:t>)</w:t>
      </w:r>
    </w:p>
    <w:p w14:paraId="7286D713" w14:textId="77777777" w:rsidR="00E4091D" w:rsidRDefault="00E4091D" w:rsidP="004922A8">
      <w:pPr>
        <w:pStyle w:val="Heading1"/>
      </w:pPr>
      <w:r w:rsidRPr="009610A4">
        <w:lastRenderedPageBreak/>
        <w:t>cp/</w:t>
      </w:r>
      <w:r w:rsidRPr="00704A3A">
        <w:t xml:space="preserve"> Non-Destructive</w:t>
      </w:r>
      <w:r>
        <w:t xml:space="preserve"> </w:t>
      </w:r>
      <w:r w:rsidRPr="00704A3A">
        <w:t xml:space="preserve">Testing </w:t>
      </w:r>
      <w:r>
        <w:t>(</w:t>
      </w:r>
      <w:r w:rsidRPr="009610A4">
        <w:t>ndt</w:t>
      </w:r>
      <w:r>
        <w:t>)</w:t>
      </w:r>
      <w:r w:rsidRPr="009610A4">
        <w:t xml:space="preserve"> ac7108/2 proposal – OPEN</w:t>
      </w:r>
    </w:p>
    <w:p w14:paraId="7286D714" w14:textId="08B4D66C" w:rsidR="00E4091D" w:rsidRPr="00E4091D" w:rsidRDefault="00F7401A" w:rsidP="00E4091D">
      <w:pPr>
        <w:pStyle w:val="Body"/>
      </w:pPr>
      <w:r>
        <w:t>This has been completed, there are no scheduled CP etch audits linked to NDT audits.</w:t>
      </w:r>
    </w:p>
    <w:p w14:paraId="7286D715" w14:textId="77777777" w:rsidR="00E4091D" w:rsidRDefault="00E4091D" w:rsidP="00E4091D">
      <w:pPr>
        <w:pStyle w:val="Heading1"/>
      </w:pPr>
      <w:r w:rsidRPr="00E4091D">
        <w:t>Audit Effectiveness</w:t>
      </w:r>
    </w:p>
    <w:p w14:paraId="7286D716" w14:textId="4CDC6F6C" w:rsidR="00E4091D" w:rsidRDefault="00E4091D" w:rsidP="00E4091D">
      <w:pPr>
        <w:pStyle w:val="Body"/>
      </w:pPr>
      <w:r>
        <w:t>The</w:t>
      </w:r>
      <w:r w:rsidR="00015B87">
        <w:t xml:space="preserve"> Nadcap Management Council (</w:t>
      </w:r>
      <w:r w:rsidRPr="00E4091D">
        <w:t>NMC</w:t>
      </w:r>
      <w:r w:rsidR="00015B87">
        <w:t>)</w:t>
      </w:r>
      <w:r w:rsidRPr="00E4091D">
        <w:t xml:space="preserve"> actions regarding audit effectiveness</w:t>
      </w:r>
      <w:r>
        <w:t xml:space="preserve"> were reviewed.</w:t>
      </w:r>
    </w:p>
    <w:p w14:paraId="7286D717" w14:textId="77777777" w:rsidR="00FF0F4B" w:rsidRDefault="00FF0F4B" w:rsidP="00FF0F4B">
      <w:pPr>
        <w:pStyle w:val="Body"/>
      </w:pPr>
      <w:r>
        <w:t>By August, Task Groups are to establish and communicate the following expectations to their Auditors. Where there is already an expectation, it needs to be reinforced. These should also be a part of the Auditor Conference in October.</w:t>
      </w:r>
    </w:p>
    <w:p w14:paraId="7286D718" w14:textId="77777777" w:rsidR="00FF0F4B" w:rsidRDefault="00FF0F4B" w:rsidP="00FF0F4B">
      <w:pPr>
        <w:pStyle w:val="Body"/>
        <w:numPr>
          <w:ilvl w:val="0"/>
          <w:numId w:val="24"/>
        </w:numPr>
      </w:pPr>
      <w:r w:rsidRPr="00FF0F4B">
        <w:rPr>
          <w:b/>
        </w:rPr>
        <w:t>Selection of Job Audits:</w:t>
      </w:r>
      <w:r>
        <w:t xml:space="preserve"> The Auditors should be selecting the job audits whenever possible. Auditors need to avoid having Auditees pre-select jobs. While pre-selecting jobs may seem to make things more convenient to both the Auditee and the Auditor, it raises the possibility for “gaming” the audit process.   </w:t>
      </w:r>
    </w:p>
    <w:p w14:paraId="7286D719" w14:textId="77777777" w:rsidR="00FF0F4B" w:rsidRDefault="00FF0F4B" w:rsidP="00FF0F4B">
      <w:pPr>
        <w:pStyle w:val="Body"/>
        <w:ind w:left="1080"/>
      </w:pPr>
      <w:r>
        <w:t>Suggested idea: randomly select in-process jobs on the shop floor; visit the planning department to select jobs scheduled for the week.</w:t>
      </w:r>
    </w:p>
    <w:p w14:paraId="7286D71A" w14:textId="77777777" w:rsidR="00FF0F4B" w:rsidRDefault="00FF0F4B" w:rsidP="00FF0F4B">
      <w:pPr>
        <w:pStyle w:val="Body"/>
        <w:numPr>
          <w:ilvl w:val="0"/>
          <w:numId w:val="24"/>
        </w:numPr>
      </w:pPr>
      <w:r w:rsidRPr="00FF0F4B">
        <w:rPr>
          <w:b/>
        </w:rPr>
        <w:t>Paper/Demo/Virtual/Coupon Audits:</w:t>
      </w:r>
      <w:r>
        <w:t xml:space="preserve"> Whenever in-process jobs are not available, the auditor still needs to perform job audits. One method of doing this is using a test coupon or a scrap part. An historical (“paper”) job audit may also be performed. Another option to use with an historical job audit is a “virtual” job audit where the auditor still audits on the floor with operators explaining how the process would be performed with the equipment.</w:t>
      </w:r>
    </w:p>
    <w:p w14:paraId="7286D71B" w14:textId="77777777" w:rsidR="00FF0F4B" w:rsidRDefault="00FF0F4B" w:rsidP="00FF0F4B">
      <w:pPr>
        <w:pStyle w:val="Body"/>
        <w:ind w:left="1080"/>
      </w:pPr>
      <w:r>
        <w:t>Task Groups may also want to consider defining a "standard" part or coupon that could be processed as a “live” part.</w:t>
      </w:r>
    </w:p>
    <w:p w14:paraId="7286D71C" w14:textId="77777777" w:rsidR="00FF0F4B" w:rsidRPr="00FF0F4B" w:rsidRDefault="00FF0F4B" w:rsidP="00FF0F4B">
      <w:pPr>
        <w:pStyle w:val="Body"/>
        <w:numPr>
          <w:ilvl w:val="0"/>
          <w:numId w:val="24"/>
        </w:numPr>
      </w:pPr>
      <w:r w:rsidRPr="00FF0F4B">
        <w:rPr>
          <w:b/>
        </w:rPr>
        <w:t xml:space="preserve">Define Level of Specifications: </w:t>
      </w:r>
      <w:r w:rsidRPr="00FF0F4B">
        <w:t>All Task Groups must define the level of specifications (sub-documents) that auditors are expected to review as part of the job audit. Task Groups need to be very specific/distinct in terms of their expectations and reinforce the expectation with your auditors so that there is no misunderstanding.</w:t>
      </w:r>
    </w:p>
    <w:p w14:paraId="7286D71D" w14:textId="29B4316E" w:rsidR="00FF0F4B" w:rsidRDefault="00FF0F4B" w:rsidP="00FF0F4B">
      <w:pPr>
        <w:pStyle w:val="Body"/>
        <w:numPr>
          <w:ilvl w:val="0"/>
          <w:numId w:val="24"/>
        </w:numPr>
      </w:pPr>
      <w:r w:rsidRPr="00FF0F4B">
        <w:rPr>
          <w:b/>
        </w:rPr>
        <w:t xml:space="preserve">Validate </w:t>
      </w:r>
      <w:r w:rsidR="00443A10" w:rsidRPr="00FF0F4B">
        <w:rPr>
          <w:b/>
        </w:rPr>
        <w:t xml:space="preserve">Flow </w:t>
      </w:r>
      <w:r w:rsidR="00C76EEE">
        <w:rPr>
          <w:b/>
        </w:rPr>
        <w:t>D</w:t>
      </w:r>
      <w:r w:rsidR="00443A10" w:rsidRPr="00FF0F4B">
        <w:rPr>
          <w:b/>
        </w:rPr>
        <w:t>own</w:t>
      </w:r>
      <w:r w:rsidRPr="00FF0F4B">
        <w:rPr>
          <w:b/>
        </w:rPr>
        <w:t xml:space="preserve"> of Customer Requirements:</w:t>
      </w:r>
      <w:r>
        <w:t xml:space="preserve"> As part of the job audit, it is expected that auditors are to assess compliance against customer/prime </w:t>
      </w:r>
      <w:r w:rsidR="00443A10">
        <w:t>flow down</w:t>
      </w:r>
      <w:r>
        <w:t xml:space="preserve"> requirements (e.g. purchase order, specification, drawing), not just against internal procedures and work instructions. However, there has been feedback that this is not always happening. This expectation needs to be reinforced with your auditors so there is no misunderstanding of what they are to do.</w:t>
      </w:r>
    </w:p>
    <w:p w14:paraId="7286D71E" w14:textId="77777777" w:rsidR="00FF0F4B" w:rsidRDefault="00FF0F4B" w:rsidP="00FF0F4B">
      <w:pPr>
        <w:pStyle w:val="Body"/>
      </w:pPr>
      <w:r>
        <w:t>Longer Term:</w:t>
      </w:r>
    </w:p>
    <w:p w14:paraId="7286D71F" w14:textId="77777777" w:rsidR="00FF0F4B" w:rsidRDefault="00FF0F4B" w:rsidP="00FF0F4B">
      <w:pPr>
        <w:pStyle w:val="Body"/>
        <w:numPr>
          <w:ilvl w:val="0"/>
          <w:numId w:val="24"/>
        </w:numPr>
      </w:pPr>
      <w:r w:rsidRPr="00FF0F4B">
        <w:rPr>
          <w:b/>
        </w:rPr>
        <w:t>Job Audit Length:</w:t>
      </w:r>
      <w:r>
        <w:t xml:space="preserve"> We are asking Task Groups to evaluate the time allocated to complete job audits to ensure that it is sufficient to allow an auditor to dig into all expected details/depth. Audit Observers and Auditors should be solicited for their input. There has been some feedback that there is not an adequate amount of time to do what is necessary. This needs to be evaluated by the Task Group.</w:t>
      </w:r>
    </w:p>
    <w:p w14:paraId="7286D720" w14:textId="77777777" w:rsidR="00FF0F4B" w:rsidRDefault="00FF0F4B" w:rsidP="00FF0F4B">
      <w:pPr>
        <w:pStyle w:val="Body"/>
        <w:ind w:left="1080"/>
      </w:pPr>
      <w:r>
        <w:t>Please consider the impact on benefit/costs and suggestions for implementation, including any changes in expectations as a result of items 1-4 above.</w:t>
      </w:r>
    </w:p>
    <w:p w14:paraId="7286D721" w14:textId="77777777" w:rsidR="00FF0F4B" w:rsidRDefault="00FF0F4B" w:rsidP="00FF0F4B">
      <w:pPr>
        <w:pStyle w:val="Body"/>
      </w:pPr>
      <w:r>
        <w:t>Ongoing:</w:t>
      </w:r>
    </w:p>
    <w:p w14:paraId="7286D722" w14:textId="253E4277" w:rsidR="00FF0F4B" w:rsidRDefault="00FF0F4B" w:rsidP="00FF0F4B">
      <w:pPr>
        <w:pStyle w:val="Body"/>
        <w:numPr>
          <w:ilvl w:val="0"/>
          <w:numId w:val="24"/>
        </w:numPr>
      </w:pPr>
      <w:r w:rsidRPr="00FF0F4B">
        <w:rPr>
          <w:b/>
        </w:rPr>
        <w:t>Update Checklists:</w:t>
      </w:r>
      <w:r>
        <w:t xml:space="preserve"> The checklists are the tools that the Auditors use to perform the audits. It is very important that these are kept up to date and contain the necessary granularity/detail to minimize the risk of Auditors missing key items. When you find areas where the Auditors are missing things, please review the checklist to see if it is properly directing the Auditors in these areas and revise them as necessary. Checklists and Compliance Assessment Guides </w:t>
      </w:r>
      <w:r>
        <w:lastRenderedPageBreak/>
        <w:t xml:space="preserve">may need to provide more detail than you personally might think is necessary </w:t>
      </w:r>
      <w:r w:rsidR="00443A10">
        <w:t>as not</w:t>
      </w:r>
      <w:r>
        <w:t xml:space="preserve"> every auditor may be as well versed in every area as you might assume.</w:t>
      </w:r>
    </w:p>
    <w:p w14:paraId="7286D723" w14:textId="77777777" w:rsidR="00FF0F4B" w:rsidRDefault="00FF0F4B" w:rsidP="00FF0F4B">
      <w:pPr>
        <w:pStyle w:val="Body"/>
        <w:numPr>
          <w:ilvl w:val="0"/>
          <w:numId w:val="24"/>
        </w:numPr>
      </w:pPr>
      <w:r w:rsidRPr="00FF0F4B">
        <w:rPr>
          <w:b/>
        </w:rPr>
        <w:t>Training on Subscriber Requirements:</w:t>
      </w:r>
      <w:r>
        <w:t xml:space="preserve"> Subscriber Task Group Members are expected to provide training and answer questions on unique Subscriber requirements. Please revisit auditor training plans and encourage more Subscriber participation. It is critical that Subscribers participate in the auditor training to ensure that Subscriber unique requirements are understood by the auditors.  </w:t>
      </w:r>
    </w:p>
    <w:p w14:paraId="7286D724" w14:textId="4688359A" w:rsidR="00FF0F4B" w:rsidRDefault="000513C8" w:rsidP="00FF0F4B">
      <w:pPr>
        <w:pStyle w:val="Body"/>
      </w:pPr>
      <w:r>
        <w:t>T</w:t>
      </w:r>
      <w:r w:rsidR="00FF0F4B">
        <w:t xml:space="preserve">he </w:t>
      </w:r>
      <w:r>
        <w:t>NMC Audit Effectiveness questionnaire was completed and emailed to Mark Aubele for presenting at the Planning and Operations meeting</w:t>
      </w:r>
      <w:r w:rsidR="00015B87">
        <w:t>.</w:t>
      </w:r>
    </w:p>
    <w:p w14:paraId="7286D727" w14:textId="77777777" w:rsidR="00E902A3" w:rsidRDefault="00E902A3" w:rsidP="004922A8">
      <w:pPr>
        <w:pStyle w:val="Heading1"/>
      </w:pPr>
      <w:r>
        <w:t>checklist criteria (PD 1100)</w:t>
      </w:r>
    </w:p>
    <w:p w14:paraId="7286D728" w14:textId="73722FBD" w:rsidR="00E902A3" w:rsidRDefault="00E902A3" w:rsidP="00E902A3">
      <w:pPr>
        <w:pStyle w:val="Body"/>
      </w:pPr>
      <w:r>
        <w:t>Mike Coleman r</w:t>
      </w:r>
      <w:r w:rsidRPr="00E902A3">
        <w:t>eview</w:t>
      </w:r>
      <w:r>
        <w:t>ed</w:t>
      </w:r>
      <w:r w:rsidR="000513C8">
        <w:t xml:space="preserve"> AC7108 Rev H</w:t>
      </w:r>
      <w:r w:rsidRPr="00E902A3">
        <w:t xml:space="preserve"> for existence/compliance of quality system requirement</w:t>
      </w:r>
      <w:r w:rsidR="000513C8">
        <w:t>s and identified numerous paragraphs where the question could be in violation of PD 1100 audit criteria because it was written to test existence of a quality system requirement rather than compliance to a quality system requirement</w:t>
      </w:r>
    </w:p>
    <w:p w14:paraId="0E63635A" w14:textId="045D3103" w:rsidR="00155D53" w:rsidRPr="00451353" w:rsidRDefault="00141A43" w:rsidP="00451353">
      <w:pPr>
        <w:pStyle w:val="ActionItem"/>
      </w:pPr>
      <w:r w:rsidRPr="00451353">
        <w:t xml:space="preserve">ACTION ITEM: </w:t>
      </w:r>
      <w:r w:rsidR="000513C8" w:rsidRPr="00451353">
        <w:t xml:space="preserve">A sub-team of </w:t>
      </w:r>
      <w:r w:rsidR="00155D53" w:rsidRPr="00451353">
        <w:t>Mike Coleman (lead), Karyn Deming, Zia Usmani, Michael Vosatka, Dennis Reidy</w:t>
      </w:r>
      <w:r w:rsidR="0017266D" w:rsidRPr="00451353">
        <w:t>, Susan Lewis, Angelina Mendo</w:t>
      </w:r>
      <w:r w:rsidR="0089477E" w:rsidRPr="00451353">
        <w:t>za, Christine Nesbitt</w:t>
      </w:r>
      <w:r w:rsidR="00155D53" w:rsidRPr="00451353">
        <w:t xml:space="preserve">. To review </w:t>
      </w:r>
      <w:r w:rsidR="000513C8" w:rsidRPr="00451353">
        <w:t xml:space="preserve">AC7108 Rev H paras 3.4.1, 3.4.2, 3.4.3, 3.6.2, 3.6.3, 3.6.4, 3.8.1, 3.8.3, 3.9.1, 4.2.2.1, 4.2.2.1.1, 4.2.2.2, 4.2.2.3, 4.2.4, 4.4.1, 4.4.3. 4.4.4, 4.5.1, 4.5.2, 4.5.3, 4.5.6, 4.5.7, 5.2.1, 5.3.3, 5.4.6, 5.4.7, 5.5.2, 5.6.7, 5.7.2 </w:t>
      </w:r>
      <w:r w:rsidRPr="00451353">
        <w:t xml:space="preserve">against PD 1100 requirements for compliance to and not existence of quality system elements </w:t>
      </w:r>
      <w:r w:rsidR="000513C8" w:rsidRPr="00451353">
        <w:t>and propose either alternative wording</w:t>
      </w:r>
      <w:r w:rsidRPr="00451353">
        <w:t xml:space="preserve"> or recommend deletion</w:t>
      </w:r>
      <w:r w:rsidR="00155D53" w:rsidRPr="00451353">
        <w:t>.</w:t>
      </w:r>
      <w:r w:rsidR="005A0C58" w:rsidRPr="005A0C58">
        <w:t xml:space="preserve"> </w:t>
      </w:r>
      <w:r w:rsidR="005A0C58">
        <w:t>(Due Date: 20-Oct-2016)</w:t>
      </w:r>
    </w:p>
    <w:p w14:paraId="7286D729" w14:textId="77777777" w:rsidR="00E902A3" w:rsidRPr="009610A4" w:rsidRDefault="00E902A3" w:rsidP="00E902A3">
      <w:pPr>
        <w:pStyle w:val="Heading1"/>
      </w:pPr>
      <w:r w:rsidRPr="004922A8">
        <w:t xml:space="preserve">NMC Metrics &amp; </w:t>
      </w:r>
      <w:r w:rsidRPr="00503128">
        <w:t>Auditor Capacity</w:t>
      </w:r>
      <w:r w:rsidRPr="009610A4">
        <w:t xml:space="preserve"> – open</w:t>
      </w:r>
    </w:p>
    <w:p w14:paraId="44FD4664" w14:textId="0E8A4D8B" w:rsidR="006827E9" w:rsidRDefault="00C56798" w:rsidP="006827E9">
      <w:pPr>
        <w:ind w:left="709"/>
      </w:pPr>
      <w:r>
        <w:t>Ethan Akin</w:t>
      </w:r>
      <w:r w:rsidR="00712B5F">
        <w:t>s</w:t>
      </w:r>
      <w:r w:rsidR="00E902A3">
        <w:t xml:space="preserve"> reviewed the </w:t>
      </w:r>
      <w:r w:rsidR="00E902A3" w:rsidRPr="00965B8F">
        <w:t>auditor capacity graph</w:t>
      </w:r>
      <w:r w:rsidR="00E902A3">
        <w:t xml:space="preserve"> and NMC Metrics.</w:t>
      </w:r>
      <w:r w:rsidR="006827E9" w:rsidRPr="006827E9">
        <w:t xml:space="preserve"> </w:t>
      </w:r>
      <w:r w:rsidR="006827E9">
        <w:t>All were green except Supplier Merit, Task Group Cycle Time and Auditor Capacity which were yellow.</w:t>
      </w:r>
    </w:p>
    <w:p w14:paraId="7286D72C" w14:textId="77777777" w:rsidR="00E902A3" w:rsidRPr="002B3C14" w:rsidRDefault="00E902A3" w:rsidP="00E902A3">
      <w:pPr>
        <w:pStyle w:val="Heading1"/>
      </w:pPr>
      <w:r w:rsidRPr="002B3C14">
        <w:t>AC7108 Rev I – OPEN</w:t>
      </w:r>
    </w:p>
    <w:p w14:paraId="7286D72D" w14:textId="3391B2DE" w:rsidR="00E902A3" w:rsidRDefault="001D6F0F" w:rsidP="00E902A3">
      <w:pPr>
        <w:pStyle w:val="Body"/>
      </w:pPr>
      <w:r>
        <w:t>AC7108 Rev I was not reviewed. Need input from other sub-teams on what changes are required to be made.</w:t>
      </w:r>
    </w:p>
    <w:p w14:paraId="43F5462B" w14:textId="633C8604" w:rsidR="001D6F0F" w:rsidRPr="001D6F0F" w:rsidRDefault="001D6F0F" w:rsidP="001D6F0F">
      <w:pPr>
        <w:pStyle w:val="Heading2"/>
        <w:rPr>
          <w:b/>
        </w:rPr>
      </w:pPr>
      <w:r w:rsidRPr="001D6F0F">
        <w:rPr>
          <w:b/>
        </w:rPr>
        <w:t>Supplier Merit</w:t>
      </w:r>
      <w:r w:rsidR="00DE1991">
        <w:rPr>
          <w:b/>
        </w:rPr>
        <w:t xml:space="preserve"> – OPEN (New Item)</w:t>
      </w:r>
    </w:p>
    <w:p w14:paraId="14C538B8" w14:textId="7E9E5F0A" w:rsidR="001D6F0F" w:rsidRDefault="001D6F0F" w:rsidP="001D6F0F">
      <w:pPr>
        <w:pStyle w:val="Body"/>
      </w:pPr>
      <w:r>
        <w:t xml:space="preserve">The NMC </w:t>
      </w:r>
      <w:r w:rsidR="00443A10">
        <w:t>Standardization</w:t>
      </w:r>
      <w:r>
        <w:t xml:space="preserve"> Sub-Team have requested that the CPTG revisit how merit is assigned. The action item from their meeting minutes is:</w:t>
      </w:r>
    </w:p>
    <w:p w14:paraId="05D791DB" w14:textId="4E799AA2" w:rsidR="001D6F0F" w:rsidRDefault="001D6F0F" w:rsidP="00DE1991">
      <w:pPr>
        <w:pStyle w:val="Body"/>
        <w:ind w:left="1440"/>
      </w:pPr>
      <w:r w:rsidRPr="001D6F0F">
        <w:t>Chemical Processing (CP) Task Group to revisit allowance to grant merit based on Subscriber response of no impact. NMC does not agree with this position and if CP believes it needs to stay, they will need to provide justification. If there is no justification, it will need to be removed.</w:t>
      </w:r>
    </w:p>
    <w:p w14:paraId="63372935" w14:textId="77777777" w:rsidR="00FC33B4" w:rsidRDefault="00141A43">
      <w:pPr>
        <w:pStyle w:val="Body"/>
      </w:pPr>
      <w:r>
        <w:t xml:space="preserve">The </w:t>
      </w:r>
      <w:r w:rsidR="00443A10">
        <w:t>sub</w:t>
      </w:r>
      <w:r w:rsidR="00C76EEE">
        <w:t>-</w:t>
      </w:r>
      <w:r w:rsidR="00443A10">
        <w:t>team</w:t>
      </w:r>
      <w:r>
        <w:t xml:space="preserve"> reviewed the CPTG audit review guidelines and felt that the design authority is in the best position to determine if there is any impact.</w:t>
      </w:r>
      <w:r w:rsidR="00BE3EB3">
        <w:t xml:space="preserve"> </w:t>
      </w:r>
    </w:p>
    <w:p w14:paraId="5ADE0C39" w14:textId="06D010D4" w:rsidR="00141A43" w:rsidRPr="00E713A8" w:rsidRDefault="00141A43">
      <w:pPr>
        <w:pStyle w:val="Body"/>
      </w:pPr>
      <w:r w:rsidRPr="00E713A8">
        <w:t xml:space="preserve">Motion made by Bill </w:t>
      </w:r>
      <w:proofErr w:type="spellStart"/>
      <w:r w:rsidRPr="00E713A8">
        <w:t>Heeter</w:t>
      </w:r>
      <w:proofErr w:type="spellEnd"/>
      <w:r w:rsidRPr="00E713A8">
        <w:t xml:space="preserve"> and seconded by Mike Coleman to retain the present Chemical Process Task Group practice to allow the design authority to determine whether a spec violation is an escape or not. </w:t>
      </w:r>
      <w:r w:rsidR="00FC33B4">
        <w:t>Motion passed</w:t>
      </w:r>
      <w:proofErr w:type="gramStart"/>
      <w:r w:rsidR="00FC33B4">
        <w:t xml:space="preserve">. </w:t>
      </w:r>
      <w:r w:rsidR="00BE3EB3">
        <w:t>.</w:t>
      </w:r>
      <w:proofErr w:type="gramEnd"/>
    </w:p>
    <w:p w14:paraId="04337F5F" w14:textId="77777777" w:rsidR="00FC33B4" w:rsidRDefault="00BE3EB3">
      <w:pPr>
        <w:pStyle w:val="Body"/>
      </w:pPr>
      <w:r>
        <w:t xml:space="preserve">Bill </w:t>
      </w:r>
      <w:proofErr w:type="spellStart"/>
      <w:r>
        <w:t>Heeter</w:t>
      </w:r>
      <w:proofErr w:type="spellEnd"/>
      <w:r>
        <w:t xml:space="preserve"> raised a concern that all violations to specification requirements require the “supplier to evaluate impact box” to be checked and therefore any specification violation will result in a Major NCR. </w:t>
      </w:r>
    </w:p>
    <w:p w14:paraId="4DDD6F1E" w14:textId="79AE36A8" w:rsidR="0036727E" w:rsidRPr="00B54C69" w:rsidRDefault="0036727E">
      <w:pPr>
        <w:pStyle w:val="Body"/>
      </w:pPr>
      <w:r w:rsidRPr="00B54C69">
        <w:t xml:space="preserve">Motion made by Eric </w:t>
      </w:r>
      <w:proofErr w:type="spellStart"/>
      <w:r w:rsidRPr="00B54C69">
        <w:t>Jacklin</w:t>
      </w:r>
      <w:proofErr w:type="spellEnd"/>
      <w:r w:rsidRPr="00B54C69">
        <w:t xml:space="preserve"> and seconded by Hal Abel to have Jim Cummings take the issue of any non-</w:t>
      </w:r>
      <w:r w:rsidR="00443A10" w:rsidRPr="00B54C69">
        <w:t>compliance</w:t>
      </w:r>
      <w:r w:rsidRPr="00B54C69">
        <w:t xml:space="preserve"> to a </w:t>
      </w:r>
      <w:r w:rsidRPr="00E713A8">
        <w:t>specification</w:t>
      </w:r>
      <w:r w:rsidRPr="00B54C69">
        <w:t xml:space="preserve"> to be automatically identified as “supplier to evaluate impact” which results in a Major NCR to NMC. </w:t>
      </w:r>
      <w:r w:rsidR="00FC33B4">
        <w:t xml:space="preserve">Motion passed. </w:t>
      </w:r>
    </w:p>
    <w:p w14:paraId="7286D72E" w14:textId="190BB20A" w:rsidR="00E902A3" w:rsidRDefault="00E902A3" w:rsidP="004922A8">
      <w:pPr>
        <w:pStyle w:val="Heading1"/>
      </w:pPr>
      <w:r>
        <w:lastRenderedPageBreak/>
        <w:t>sub</w:t>
      </w:r>
      <w:r w:rsidR="001B008C">
        <w:t>-</w:t>
      </w:r>
      <w:r>
        <w:t>team report outs</w:t>
      </w:r>
      <w:r w:rsidR="00DE1991">
        <w:t xml:space="preserve"> - OPEN</w:t>
      </w:r>
    </w:p>
    <w:p w14:paraId="0BC36297" w14:textId="2EFA73EB" w:rsidR="00443A10" w:rsidRDefault="00E902A3" w:rsidP="00E713A8">
      <w:pPr>
        <w:pStyle w:val="Body"/>
      </w:pPr>
      <w:r w:rsidRPr="00D2111D">
        <w:rPr>
          <w:b/>
        </w:rPr>
        <w:t>Water Break Free</w:t>
      </w:r>
      <w:r w:rsidR="00D2111D">
        <w:t>:</w:t>
      </w:r>
      <w:r>
        <w:t xml:space="preserve"> </w:t>
      </w:r>
      <w:r w:rsidR="00BB1BCD">
        <w:t>A Sub</w:t>
      </w:r>
      <w:r w:rsidR="001B008C">
        <w:t xml:space="preserve"> t</w:t>
      </w:r>
      <w:r w:rsidR="00BB1BCD">
        <w:t xml:space="preserve">eam of Bill </w:t>
      </w:r>
      <w:proofErr w:type="spellStart"/>
      <w:r w:rsidR="00BB1BCD">
        <w:t>Heeter</w:t>
      </w:r>
      <w:proofErr w:type="spellEnd"/>
      <w:r w:rsidR="00BB1BCD">
        <w:t xml:space="preserve"> (Lead), Michael </w:t>
      </w:r>
      <w:proofErr w:type="spellStart"/>
      <w:r w:rsidR="00BB1BCD">
        <w:t>Vosatka</w:t>
      </w:r>
      <w:proofErr w:type="spellEnd"/>
      <w:r w:rsidR="00BB1BCD">
        <w:t>, Ron Cohen, Hal Abel</w:t>
      </w:r>
      <w:r w:rsidR="00D2111D" w:rsidRPr="00D2111D">
        <w:t xml:space="preserve"> </w:t>
      </w:r>
      <w:r w:rsidR="00BB1BCD">
        <w:t>to</w:t>
      </w:r>
      <w:r w:rsidR="00D2111D" w:rsidRPr="00D2111D">
        <w:t xml:space="preserve"> review the new checklists after implementation of the checklist strategic plan and provide alternative wording for the relevant paragraphs. </w:t>
      </w:r>
      <w:r w:rsidR="00BE3EB3">
        <w:t>Only two members of the original sub</w:t>
      </w:r>
      <w:r w:rsidR="001B008C">
        <w:t xml:space="preserve"> </w:t>
      </w:r>
      <w:r w:rsidR="00BE3EB3">
        <w:t xml:space="preserve">team remain on the Task Group. Concerns were raised about the proposed alternative wording (cleanliness verification) and whether this would lead to suppliers doing an alternative test. </w:t>
      </w:r>
    </w:p>
    <w:p w14:paraId="16931EC9" w14:textId="2B73CBD6" w:rsidR="008F7974" w:rsidRDefault="008F7974" w:rsidP="002E10B9">
      <w:pPr>
        <w:pStyle w:val="Body"/>
      </w:pPr>
      <w:r>
        <w:t xml:space="preserve">Motion made by </w:t>
      </w:r>
      <w:r w:rsidR="006E0EC1">
        <w:t>J</w:t>
      </w:r>
      <w:r>
        <w:t xml:space="preserve">im </w:t>
      </w:r>
      <w:r w:rsidR="006E0EC1">
        <w:t>C</w:t>
      </w:r>
      <w:r>
        <w:t>ummings</w:t>
      </w:r>
      <w:r w:rsidR="006E0EC1">
        <w:t xml:space="preserve"> </w:t>
      </w:r>
      <w:r w:rsidR="00443A10" w:rsidRPr="00E713A8">
        <w:t>and</w:t>
      </w:r>
      <w:r w:rsidR="006E0EC1">
        <w:t xml:space="preserve"> s</w:t>
      </w:r>
      <w:r>
        <w:t>econd</w:t>
      </w:r>
      <w:r w:rsidR="006E0EC1">
        <w:t>ed by Shawn V</w:t>
      </w:r>
      <w:r>
        <w:t>ierth</w:t>
      </w:r>
      <w:r w:rsidR="006E0EC1">
        <w:t>a</w:t>
      </w:r>
      <w:r>
        <w:t xml:space="preserve">ler, </w:t>
      </w:r>
      <w:r w:rsidR="006E0EC1">
        <w:t>t</w:t>
      </w:r>
      <w:r>
        <w:t>o not change water break free</w:t>
      </w:r>
      <w:r w:rsidR="006E0EC1">
        <w:t xml:space="preserve"> wording in checklists</w:t>
      </w:r>
      <w:r>
        <w:t>.</w:t>
      </w:r>
      <w:r w:rsidR="006E0EC1">
        <w:t xml:space="preserve"> </w:t>
      </w:r>
      <w:r w:rsidR="00FC33B4">
        <w:t>Motion passed</w:t>
      </w:r>
      <w:proofErr w:type="gramStart"/>
      <w:r w:rsidR="00FC33B4">
        <w:t xml:space="preserve">. </w:t>
      </w:r>
      <w:r w:rsidR="006E0EC1">
        <w:t>.</w:t>
      </w:r>
      <w:proofErr w:type="gramEnd"/>
    </w:p>
    <w:p w14:paraId="54DAC016" w14:textId="593DB97D" w:rsidR="00443A10" w:rsidRDefault="00E902A3" w:rsidP="00E902A3">
      <w:pPr>
        <w:pStyle w:val="Body"/>
      </w:pPr>
      <w:r w:rsidRPr="00D2111D">
        <w:rPr>
          <w:b/>
        </w:rPr>
        <w:t>Proficiency Exams</w:t>
      </w:r>
      <w:r w:rsidR="00D2111D" w:rsidRPr="00D2111D">
        <w:rPr>
          <w:b/>
        </w:rPr>
        <w:t>:</w:t>
      </w:r>
      <w:r w:rsidR="00D2111D">
        <w:t xml:space="preserve">  </w:t>
      </w:r>
      <w:r w:rsidR="00D2111D" w:rsidRPr="00D2111D">
        <w:t>A sub</w:t>
      </w:r>
      <w:r w:rsidR="001B008C">
        <w:t xml:space="preserve"> </w:t>
      </w:r>
      <w:r w:rsidR="00D2111D" w:rsidRPr="00D2111D">
        <w:t xml:space="preserve">team of Hal Abel (Lead), Steve Starr, Mike </w:t>
      </w:r>
      <w:proofErr w:type="spellStart"/>
      <w:r w:rsidR="00D2111D" w:rsidRPr="00D2111D">
        <w:t>Noettl</w:t>
      </w:r>
      <w:proofErr w:type="spellEnd"/>
      <w:r w:rsidR="00D2111D" w:rsidRPr="00D2111D">
        <w:t xml:space="preserve">, Mike Coleman, Zia </w:t>
      </w:r>
      <w:proofErr w:type="spellStart"/>
      <w:r w:rsidR="00D2111D" w:rsidRPr="00D2111D">
        <w:t>Usmani</w:t>
      </w:r>
      <w:proofErr w:type="spellEnd"/>
      <w:r w:rsidR="00D2111D" w:rsidRPr="00D2111D">
        <w:t xml:space="preserve">, Barry </w:t>
      </w:r>
      <w:proofErr w:type="spellStart"/>
      <w:r w:rsidR="00D2111D" w:rsidRPr="00D2111D">
        <w:t>Snitzer</w:t>
      </w:r>
      <w:proofErr w:type="spellEnd"/>
      <w:r w:rsidR="00D2111D" w:rsidRPr="00D2111D">
        <w:t>, Susan, Lewis, Phil Brockman, Daniel Backus, Veronique Marcel, Ethan Akins was appointed to review the proficiency exams and assess the need to sub-categorize and apply pass criteria based on the sub-categories</w:t>
      </w:r>
      <w:r w:rsidR="007275B5">
        <w:t xml:space="preserve">.    </w:t>
      </w:r>
    </w:p>
    <w:p w14:paraId="238890ED" w14:textId="01CA9C4C" w:rsidR="007275B5" w:rsidRDefault="007275B5" w:rsidP="00E902A3">
      <w:pPr>
        <w:pStyle w:val="Body"/>
      </w:pPr>
      <w:r>
        <w:t>Ethan presented the teams recommendation</w:t>
      </w:r>
      <w:r w:rsidR="00BE3EB3">
        <w:t>s:</w:t>
      </w:r>
      <w:r>
        <w:t xml:space="preserve"> </w:t>
      </w:r>
    </w:p>
    <w:p w14:paraId="52CADF46" w14:textId="69AE0187" w:rsidR="007275B5" w:rsidRDefault="007275B5" w:rsidP="007275B5">
      <w:pPr>
        <w:pStyle w:val="Body"/>
        <w:numPr>
          <w:ilvl w:val="0"/>
          <w:numId w:val="29"/>
        </w:numPr>
      </w:pPr>
      <w:r>
        <w:t xml:space="preserve">Add additional questions to current tests to have a minimum number of questions of 35.   </w:t>
      </w:r>
    </w:p>
    <w:p w14:paraId="7286D730" w14:textId="151E4740" w:rsidR="00E902A3" w:rsidRDefault="007275B5" w:rsidP="007275B5">
      <w:pPr>
        <w:pStyle w:val="Body"/>
        <w:numPr>
          <w:ilvl w:val="0"/>
          <w:numId w:val="29"/>
        </w:numPr>
      </w:pPr>
      <w:r>
        <w:t xml:space="preserve">Change the </w:t>
      </w:r>
      <w:r w:rsidR="00443A10">
        <w:t>maximum</w:t>
      </w:r>
      <w:r>
        <w:t xml:space="preserve"> time per test from 1 hour, to a value equal to 1 minute per question, rounded to the closest 5 min. (</w:t>
      </w:r>
      <w:r w:rsidR="00443A10">
        <w:t>i.e.</w:t>
      </w:r>
      <w:r>
        <w:t xml:space="preserve"> 37 question test, would be 40 min time allotment).   </w:t>
      </w:r>
    </w:p>
    <w:p w14:paraId="1069A70D" w14:textId="11E5FD00" w:rsidR="007275B5" w:rsidRDefault="00060730" w:rsidP="007275B5">
      <w:pPr>
        <w:pStyle w:val="Body"/>
        <w:numPr>
          <w:ilvl w:val="0"/>
          <w:numId w:val="29"/>
        </w:numPr>
      </w:pPr>
      <w:r>
        <w:t>Amend OP 1116</w:t>
      </w:r>
      <w:r w:rsidR="00DA1A76">
        <w:t xml:space="preserve"> App CP</w:t>
      </w:r>
      <w:r>
        <w:t xml:space="preserve"> to raise the </w:t>
      </w:r>
      <w:r w:rsidR="007275B5">
        <w:t>minimum scoring form 65%, to 80% per test.</w:t>
      </w:r>
    </w:p>
    <w:p w14:paraId="0D6D93CC" w14:textId="3F27B01B" w:rsidR="007275B5" w:rsidRDefault="00DA1A76" w:rsidP="007275B5">
      <w:pPr>
        <w:pStyle w:val="Body"/>
        <w:numPr>
          <w:ilvl w:val="0"/>
          <w:numId w:val="29"/>
        </w:numPr>
      </w:pPr>
      <w:r>
        <w:t>Amend OP 1114 App CP to require</w:t>
      </w:r>
      <w:r w:rsidR="007275B5">
        <w:t xml:space="preserve"> Task Group Chair or Vice Chair concurrence along with SE to allow a candidate with lower score to continue with process.</w:t>
      </w:r>
    </w:p>
    <w:p w14:paraId="62DA5571" w14:textId="278ADA05" w:rsidR="00060730" w:rsidRDefault="00060730" w:rsidP="00E713A8">
      <w:pPr>
        <w:pStyle w:val="Body"/>
      </w:pPr>
      <w:r>
        <w:t xml:space="preserve">The Task Group agreed to items 1 and 2 but </w:t>
      </w:r>
      <w:r w:rsidR="00DA1A76">
        <w:t>wanted more data before altering the requirements in OP 1114 App CP and OP 1116 App CP.</w:t>
      </w:r>
      <w:r w:rsidR="00803846">
        <w:t xml:space="preserve"> Concerns were raised that adjacent questions included information that helped in determining the answers so it was recommended that either the order of questions was amended or the exam amended so that only one question was visible at a time.</w:t>
      </w:r>
    </w:p>
    <w:p w14:paraId="4D759CAF" w14:textId="05FA1AC5" w:rsidR="00803846" w:rsidRDefault="00DA1A76" w:rsidP="00285C58">
      <w:pPr>
        <w:pStyle w:val="ActionItem"/>
      </w:pPr>
      <w:r>
        <w:t>ACTION ITEM: The</w:t>
      </w:r>
      <w:r w:rsidRPr="00DA1A76">
        <w:t xml:space="preserve"> sub-team of Hal Abel (Lead), Steve Starr, Mike </w:t>
      </w:r>
      <w:proofErr w:type="spellStart"/>
      <w:r w:rsidRPr="00DA1A76">
        <w:t>Noettl</w:t>
      </w:r>
      <w:proofErr w:type="spellEnd"/>
      <w:r w:rsidRPr="00DA1A76">
        <w:t xml:space="preserve">, Mike Coleman, Zia </w:t>
      </w:r>
      <w:proofErr w:type="spellStart"/>
      <w:r w:rsidRPr="00DA1A76">
        <w:t>Usmani</w:t>
      </w:r>
      <w:proofErr w:type="spellEnd"/>
      <w:r w:rsidRPr="00DA1A76">
        <w:t xml:space="preserve">, Barry </w:t>
      </w:r>
      <w:proofErr w:type="spellStart"/>
      <w:r w:rsidRPr="00DA1A76">
        <w:t>Snitzer</w:t>
      </w:r>
      <w:proofErr w:type="spellEnd"/>
      <w:r w:rsidRPr="00DA1A76">
        <w:t xml:space="preserve">, Susan, Lewis, Phil Brockman, Daniel Backus, Veronique Marcel, Ethan Akins </w:t>
      </w:r>
      <w:r>
        <w:t xml:space="preserve">to write additional questions for the proficiency tests so that there is a minimum of 35 for each </w:t>
      </w:r>
      <w:r w:rsidR="00803846">
        <w:t xml:space="preserve">exam, propose amendments to current questions, </w:t>
      </w:r>
      <w:r>
        <w:t>change t</w:t>
      </w:r>
      <w:r w:rsidR="007275B5">
        <w:t>he allowable time to be 1 minute per question rounded up to the closest 5 minute</w:t>
      </w:r>
      <w:r>
        <w:t>s</w:t>
      </w:r>
      <w:r w:rsidR="007275B5">
        <w:t>,</w:t>
      </w:r>
      <w:r w:rsidR="00B774EB" w:rsidRPr="00F32703">
        <w:t xml:space="preserve"> and</w:t>
      </w:r>
      <w:r w:rsidR="00803846">
        <w:t xml:space="preserve"> amend the exam so only one question is viewable at a time.</w:t>
      </w:r>
      <w:r>
        <w:t xml:space="preserve"> </w:t>
      </w:r>
      <w:r w:rsidR="005A0C58">
        <w:t>(Due Date: 20-Oct-2016)</w:t>
      </w:r>
    </w:p>
    <w:p w14:paraId="7F9CCE5B" w14:textId="64A36E48" w:rsidR="00B774EB" w:rsidRPr="00E713A8" w:rsidRDefault="00803846" w:rsidP="00285C58">
      <w:pPr>
        <w:pStyle w:val="ActionItem"/>
      </w:pPr>
      <w:r>
        <w:t>ACTION ITEM: The</w:t>
      </w:r>
      <w:r w:rsidRPr="00DA1A76">
        <w:t xml:space="preserve"> sub-team of Hal Abel (Lead), Steve Starr, Mike </w:t>
      </w:r>
      <w:proofErr w:type="spellStart"/>
      <w:r w:rsidRPr="00DA1A76">
        <w:t>Noettl</w:t>
      </w:r>
      <w:proofErr w:type="spellEnd"/>
      <w:r w:rsidRPr="00DA1A76">
        <w:t xml:space="preserve">, Mike Coleman, Zia </w:t>
      </w:r>
      <w:proofErr w:type="spellStart"/>
      <w:r w:rsidRPr="00DA1A76">
        <w:t>Usmani</w:t>
      </w:r>
      <w:proofErr w:type="spellEnd"/>
      <w:r w:rsidRPr="00DA1A76">
        <w:t xml:space="preserve">, Barry </w:t>
      </w:r>
      <w:proofErr w:type="spellStart"/>
      <w:r w:rsidRPr="00DA1A76">
        <w:t>Snitzer</w:t>
      </w:r>
      <w:proofErr w:type="spellEnd"/>
      <w:r w:rsidRPr="00DA1A76">
        <w:t xml:space="preserve">, Susan, Lewis, Phil Brockman, Daniel Backus, Veronique Marcel, Ethan Akins </w:t>
      </w:r>
      <w:r>
        <w:t xml:space="preserve">to revisit the recommendation to increase exam pass mark and the need for TG Chairperson or Vice Chairperson to approve </w:t>
      </w:r>
      <w:r w:rsidR="0052693D">
        <w:t>candidates</w:t>
      </w:r>
      <w:r>
        <w:t xml:space="preserve"> who do not meet the score</w:t>
      </w:r>
      <w:r w:rsidR="00FE7748">
        <w:t>.</w:t>
      </w:r>
      <w:r w:rsidR="005A0C58" w:rsidRPr="005A0C58">
        <w:t xml:space="preserve"> </w:t>
      </w:r>
      <w:r w:rsidR="005A0C58">
        <w:t>(Due Date: 20-Oct-2016)</w:t>
      </w:r>
    </w:p>
    <w:p w14:paraId="5B7046AA" w14:textId="7E57052A" w:rsidR="008F7974" w:rsidRPr="00F32703" w:rsidRDefault="00E902A3" w:rsidP="00E713A8">
      <w:pPr>
        <w:pStyle w:val="Body"/>
      </w:pPr>
      <w:r w:rsidRPr="00D2111D">
        <w:rPr>
          <w:b/>
        </w:rPr>
        <w:t>Calibration/Verification:</w:t>
      </w:r>
      <w:r>
        <w:t xml:space="preserve"> </w:t>
      </w:r>
      <w:r w:rsidR="00D2111D" w:rsidRPr="00D2111D">
        <w:t xml:space="preserve">A sub-team of Steve Starr (Lead), Mike Coleman, </w:t>
      </w:r>
      <w:proofErr w:type="spellStart"/>
      <w:r w:rsidR="00D2111D" w:rsidRPr="00D2111D">
        <w:t>Yuhui</w:t>
      </w:r>
      <w:proofErr w:type="spellEnd"/>
      <w:r w:rsidR="00D2111D" w:rsidRPr="00D2111D">
        <w:t xml:space="preserve"> Sun, Mark Montreuil, Jerker </w:t>
      </w:r>
      <w:proofErr w:type="spellStart"/>
      <w:r w:rsidR="00D2111D" w:rsidRPr="00D2111D">
        <w:t>Nordh</w:t>
      </w:r>
      <w:proofErr w:type="spellEnd"/>
      <w:r w:rsidR="00D2111D" w:rsidRPr="00D2111D">
        <w:t xml:space="preserve">, Christine Nesbitt, Tammi Schubert, </w:t>
      </w:r>
      <w:proofErr w:type="spellStart"/>
      <w:r w:rsidR="00D2111D" w:rsidRPr="00D2111D">
        <w:t>Vitorio</w:t>
      </w:r>
      <w:proofErr w:type="spellEnd"/>
      <w:r w:rsidR="00D2111D" w:rsidRPr="00D2111D">
        <w:t xml:space="preserve"> </w:t>
      </w:r>
      <w:proofErr w:type="spellStart"/>
      <w:r w:rsidR="00D2111D" w:rsidRPr="00D2111D">
        <w:t>Stana</w:t>
      </w:r>
      <w:proofErr w:type="spellEnd"/>
      <w:r w:rsidR="00D2111D" w:rsidRPr="00D2111D">
        <w:t xml:space="preserve"> was set up to address calibration/verification requirements for various instrument types used in the support of chemical processing (conductivity meters, pH meters, eddy current thickness testers, magnetic thickness testers, XRF, etc.) and consider raising to </w:t>
      </w:r>
      <w:r w:rsidR="00D2111D">
        <w:t xml:space="preserve">NMC as a </w:t>
      </w:r>
      <w:r w:rsidR="0052693D">
        <w:t>standardization</w:t>
      </w:r>
      <w:r w:rsidR="00D2111D">
        <w:t xml:space="preserve"> issue</w:t>
      </w:r>
      <w:r w:rsidR="00FE7748">
        <w:t xml:space="preserve">. The sub-team </w:t>
      </w:r>
      <w:r w:rsidR="0052693D">
        <w:t>presented</w:t>
      </w:r>
      <w:r w:rsidR="00F32703">
        <w:t xml:space="preserve"> </w:t>
      </w:r>
      <w:r w:rsidR="00FE7748">
        <w:t xml:space="preserve">some </w:t>
      </w:r>
      <w:r w:rsidR="00F32703">
        <w:t>data on thickness calibration/verification</w:t>
      </w:r>
      <w:r w:rsidR="00FE7748">
        <w:t xml:space="preserve"> but further information/data is required</w:t>
      </w:r>
      <w:r w:rsidR="00F32703">
        <w:t>.</w:t>
      </w:r>
    </w:p>
    <w:p w14:paraId="75BB3E0F" w14:textId="4128C1FF" w:rsidR="00FE7748" w:rsidRPr="00E713A8" w:rsidRDefault="00E902A3" w:rsidP="00E713A8">
      <w:pPr>
        <w:pStyle w:val="Body"/>
      </w:pPr>
      <w:r w:rsidRPr="00D2111D">
        <w:rPr>
          <w:b/>
        </w:rPr>
        <w:t>PH Meter Calibration:</w:t>
      </w:r>
      <w:r>
        <w:t xml:space="preserve"> </w:t>
      </w:r>
      <w:r w:rsidR="00D2111D" w:rsidRPr="00D2111D">
        <w:t xml:space="preserve">A sub-team of Hal Abel (Lead), Nick </w:t>
      </w:r>
      <w:proofErr w:type="spellStart"/>
      <w:r w:rsidR="00D2111D" w:rsidRPr="00D2111D">
        <w:t>Magnapera</w:t>
      </w:r>
      <w:proofErr w:type="spellEnd"/>
      <w:r w:rsidR="00D2111D" w:rsidRPr="00D2111D">
        <w:t xml:space="preserve">, Barry </w:t>
      </w:r>
      <w:proofErr w:type="spellStart"/>
      <w:r w:rsidR="00D2111D" w:rsidRPr="00D2111D">
        <w:t>Snitzer</w:t>
      </w:r>
      <w:proofErr w:type="spellEnd"/>
      <w:r w:rsidR="00D2111D" w:rsidRPr="00D2111D">
        <w:t xml:space="preserve">, Jeremy Phillips, Ethan Akins, Levi </w:t>
      </w:r>
      <w:proofErr w:type="spellStart"/>
      <w:r w:rsidR="00D2111D" w:rsidRPr="00D2111D">
        <w:t>Talamantes</w:t>
      </w:r>
      <w:proofErr w:type="spellEnd"/>
      <w:r w:rsidR="00D2111D" w:rsidRPr="00D2111D">
        <w:t xml:space="preserve">, Daniel Backus was set up to investigate the functionality of pH meter calibration prior to use to determine the number of calibration points and the need to bracket the pH values of the samples to be measured. </w:t>
      </w:r>
      <w:r w:rsidR="00FE7748">
        <w:t>The r</w:t>
      </w:r>
      <w:r w:rsidR="00B774EB" w:rsidRPr="00E713A8">
        <w:t xml:space="preserve">ecommendation from </w:t>
      </w:r>
      <w:r w:rsidR="00FE7748">
        <w:t xml:space="preserve">the </w:t>
      </w:r>
      <w:r w:rsidR="00B774EB" w:rsidRPr="00E713A8">
        <w:t>sub</w:t>
      </w:r>
      <w:r w:rsidR="00FE7748">
        <w:t>-</w:t>
      </w:r>
      <w:r w:rsidR="00B774EB" w:rsidRPr="00E713A8">
        <w:t xml:space="preserve">team </w:t>
      </w:r>
      <w:r w:rsidR="00FE7748">
        <w:t>was to retain the current checklist requirements</w:t>
      </w:r>
      <w:r w:rsidR="00B774EB" w:rsidRPr="00E713A8">
        <w:t>.</w:t>
      </w:r>
      <w:r w:rsidR="000D4540" w:rsidRPr="00E713A8">
        <w:t xml:space="preserve">   </w:t>
      </w:r>
    </w:p>
    <w:p w14:paraId="017F8265" w14:textId="2F2FCDC0" w:rsidR="00B774EB" w:rsidRPr="00F32703" w:rsidRDefault="00FE7748" w:rsidP="00E713A8">
      <w:pPr>
        <w:pStyle w:val="ActionItem"/>
      </w:pPr>
      <w:r>
        <w:lastRenderedPageBreak/>
        <w:t xml:space="preserve">ACTION ITEM: </w:t>
      </w:r>
      <w:r w:rsidR="00B54C69">
        <w:t xml:space="preserve">Mike Coleman </w:t>
      </w:r>
      <w:r>
        <w:t xml:space="preserve">to request </w:t>
      </w:r>
      <w:r w:rsidR="00B54C69">
        <w:t>Boeing review</w:t>
      </w:r>
      <w:r>
        <w:t xml:space="preserve"> the need for pH meter verification to bracket the expected test results. (Due date: 20-Oct-2016)</w:t>
      </w:r>
    </w:p>
    <w:p w14:paraId="7286D733" w14:textId="3001D650" w:rsidR="00E902A3" w:rsidRDefault="00E902A3" w:rsidP="00E713A8">
      <w:pPr>
        <w:pStyle w:val="Body"/>
      </w:pPr>
      <w:r w:rsidRPr="00D2111D">
        <w:rPr>
          <w:b/>
        </w:rPr>
        <w:t>Re-Use of Etch Test Pieces</w:t>
      </w:r>
      <w:r>
        <w:t xml:space="preserve">: </w:t>
      </w:r>
      <w:r w:rsidR="00D2111D" w:rsidRPr="00D2111D">
        <w:t>A sub-team of Karyn Deming (Lead</w:t>
      </w:r>
      <w:r w:rsidR="00443A10" w:rsidRPr="00D2111D">
        <w:t>), Mike</w:t>
      </w:r>
      <w:r w:rsidR="00D2111D" w:rsidRPr="00D2111D">
        <w:t xml:space="preserve"> Coleman, Jeremy Phillips, </w:t>
      </w:r>
      <w:proofErr w:type="spellStart"/>
      <w:r w:rsidR="00D2111D" w:rsidRPr="00D2111D">
        <w:t>Mariusz</w:t>
      </w:r>
      <w:proofErr w:type="spellEnd"/>
      <w:r w:rsidR="00D2111D" w:rsidRPr="00D2111D">
        <w:t xml:space="preserve"> Stanczyk, Mike </w:t>
      </w:r>
      <w:proofErr w:type="spellStart"/>
      <w:r w:rsidR="00D2111D" w:rsidRPr="00D2111D">
        <w:t>Stolze</w:t>
      </w:r>
      <w:proofErr w:type="spellEnd"/>
      <w:r w:rsidR="00D2111D" w:rsidRPr="00D2111D">
        <w:t xml:space="preserve"> and Christine Nesbitt to review checklist requirements regarding the re-use of etch rate test panels. </w:t>
      </w:r>
      <w:r w:rsidR="00FE7748">
        <w:t xml:space="preserve">The </w:t>
      </w:r>
      <w:r w:rsidR="00443A10">
        <w:t>sub</w:t>
      </w:r>
      <w:r w:rsidR="001B008C">
        <w:t>-</w:t>
      </w:r>
      <w:r w:rsidR="00443A10">
        <w:t>team</w:t>
      </w:r>
      <w:r w:rsidR="00FE7748">
        <w:t xml:space="preserve"> presented the data they had but requested time to gather additional data and report back at the October meeting. The Task Group requested the </w:t>
      </w:r>
      <w:r w:rsidR="00560AE9">
        <w:t xml:space="preserve">sub-team </w:t>
      </w:r>
      <w:r w:rsidR="00FE7748">
        <w:t>also consider a default position w</w:t>
      </w:r>
      <w:r w:rsidR="00B0659E" w:rsidRPr="00E713A8">
        <w:t>hen</w:t>
      </w:r>
      <w:r w:rsidR="00863ED0">
        <w:t xml:space="preserve"> the </w:t>
      </w:r>
      <w:r w:rsidR="00FE7748">
        <w:t>specification</w:t>
      </w:r>
      <w:r w:rsidR="00B0659E">
        <w:t xml:space="preserve"> is silent</w:t>
      </w:r>
      <w:r w:rsidR="00FE7748">
        <w:t xml:space="preserve"> on reuse</w:t>
      </w:r>
      <w:r w:rsidR="00560AE9">
        <w:t xml:space="preserve"> and</w:t>
      </w:r>
      <w:r w:rsidR="007E1CE9">
        <w:t xml:space="preserve"> </w:t>
      </w:r>
      <w:r w:rsidR="00560AE9">
        <w:t>breakout of the</w:t>
      </w:r>
      <w:r w:rsidR="007E1CE9">
        <w:t xml:space="preserve"> reuse</w:t>
      </w:r>
      <w:r w:rsidR="00560AE9">
        <w:t xml:space="preserve"> portion of the </w:t>
      </w:r>
      <w:r w:rsidR="007E1CE9">
        <w:t>question.</w:t>
      </w:r>
    </w:p>
    <w:p w14:paraId="473AFA70" w14:textId="6C51F3D1" w:rsidR="00560AE9" w:rsidRPr="00F32703" w:rsidRDefault="00560AE9">
      <w:pPr>
        <w:pStyle w:val="ActionItem"/>
      </w:pPr>
      <w:r>
        <w:t xml:space="preserve">ACTION ITEM: </w:t>
      </w:r>
      <w:r w:rsidRPr="00D2111D">
        <w:t>A sub-team of Karyn Deming (Lead</w:t>
      </w:r>
      <w:r w:rsidR="0052693D" w:rsidRPr="00D2111D">
        <w:t>), Mike</w:t>
      </w:r>
      <w:r w:rsidRPr="00D2111D">
        <w:t xml:space="preserve"> Coleman, Jeremy Phillips, </w:t>
      </w:r>
      <w:proofErr w:type="spellStart"/>
      <w:r w:rsidRPr="00D2111D">
        <w:t>Mariusz</w:t>
      </w:r>
      <w:proofErr w:type="spellEnd"/>
      <w:r w:rsidRPr="00D2111D">
        <w:t xml:space="preserve"> Stanczyk, Mike </w:t>
      </w:r>
      <w:proofErr w:type="spellStart"/>
      <w:r w:rsidRPr="00D2111D">
        <w:t>Stolze</w:t>
      </w:r>
      <w:proofErr w:type="spellEnd"/>
      <w:r w:rsidRPr="00D2111D">
        <w:t xml:space="preserve"> and Christine Nesbitt to review checklist requirements regarding the reuse of etch rate test panels</w:t>
      </w:r>
      <w:r>
        <w:t xml:space="preserve"> and to </w:t>
      </w:r>
      <w:r w:rsidRPr="00560AE9">
        <w:t>consider</w:t>
      </w:r>
      <w:r>
        <w:t xml:space="preserve"> criteria for </w:t>
      </w:r>
      <w:r w:rsidR="00443A10">
        <w:t>their reuse</w:t>
      </w:r>
      <w:r>
        <w:t>,</w:t>
      </w:r>
      <w:r w:rsidRPr="00560AE9">
        <w:t xml:space="preserve"> </w:t>
      </w:r>
      <w:r>
        <w:t>default position w</w:t>
      </w:r>
      <w:r w:rsidRPr="00F275E0">
        <w:t>hen</w:t>
      </w:r>
      <w:r>
        <w:t xml:space="preserve"> the specification is silent on reuse and breakout of the reuse portion of the </w:t>
      </w:r>
      <w:r w:rsidR="0052693D">
        <w:t>question.</w:t>
      </w:r>
      <w:r>
        <w:t xml:space="preserve"> (Due date: 20-Oct-2016)</w:t>
      </w:r>
    </w:p>
    <w:p w14:paraId="5E43210C" w14:textId="79F13C5B" w:rsidR="00E9073E" w:rsidRDefault="00E9073E" w:rsidP="00E902A3">
      <w:pPr>
        <w:pStyle w:val="Body"/>
      </w:pPr>
      <w:r w:rsidRPr="00D2111D">
        <w:rPr>
          <w:b/>
        </w:rPr>
        <w:t>I</w:t>
      </w:r>
      <w:r w:rsidR="003411BE">
        <w:rPr>
          <w:b/>
        </w:rPr>
        <w:t>n</w:t>
      </w:r>
      <w:r w:rsidRPr="00D2111D">
        <w:rPr>
          <w:b/>
        </w:rPr>
        <w:t>sulation of Hoist</w:t>
      </w:r>
      <w:r>
        <w:t xml:space="preserve">:  </w:t>
      </w:r>
      <w:r w:rsidR="00D2111D" w:rsidRPr="00D2111D">
        <w:t xml:space="preserve">A sub-team of Shawn Vierthaler (Lead), Hal Abel, Nigel Cook, Paul Slater, Carleen Brubaker was set up to investigate the need for the work to be electrically isolated/insulated from the crane hook and reword AC7108 para 5.3.14 accordingly. </w:t>
      </w:r>
      <w:r w:rsidR="003411BE">
        <w:t>The Task Group felt the issue was more isolation.</w:t>
      </w:r>
    </w:p>
    <w:p w14:paraId="5479FAE2" w14:textId="47AA3E0B" w:rsidR="000D4540" w:rsidRDefault="00560AE9" w:rsidP="00E713A8">
      <w:pPr>
        <w:pStyle w:val="ActionItem"/>
      </w:pPr>
      <w:r>
        <w:t>ACTION ITEM: The</w:t>
      </w:r>
      <w:r w:rsidRPr="00D2111D">
        <w:t xml:space="preserve"> sub-team of Shawn Vierthaler (Lead), Hal Abel, Nigel Cook, Paul Slater, Carleen Brubaker to </w:t>
      </w:r>
      <w:r w:rsidR="003411BE">
        <w:t xml:space="preserve">continue to </w:t>
      </w:r>
      <w:r w:rsidRPr="00D2111D">
        <w:t xml:space="preserve">investigate the need for the work to be electrically isolated/insulated from the crane hook and reword AC7108 para 5.3.14 accordingly. </w:t>
      </w:r>
    </w:p>
    <w:p w14:paraId="7286D734" w14:textId="77777777" w:rsidR="00E902A3" w:rsidRDefault="00E902A3" w:rsidP="00E902A3">
      <w:pPr>
        <w:pStyle w:val="Body"/>
      </w:pPr>
      <w:r>
        <w:t>Auditor Conference Sub-Team Report Outs</w:t>
      </w:r>
    </w:p>
    <w:p w14:paraId="05988525" w14:textId="77777777" w:rsidR="00831064" w:rsidRPr="00027FDD" w:rsidRDefault="00831064" w:rsidP="00831064">
      <w:pPr>
        <w:spacing w:after="0"/>
        <w:ind w:left="360" w:firstLine="357"/>
        <w:rPr>
          <w:b/>
        </w:rPr>
      </w:pPr>
      <w:r w:rsidRPr="00027FDD">
        <w:rPr>
          <w:b/>
        </w:rPr>
        <w:t>Saturday</w:t>
      </w:r>
      <w:r>
        <w:rPr>
          <w:b/>
        </w:rPr>
        <w:t xml:space="preserve"> PM </w:t>
      </w:r>
      <w:r w:rsidRPr="00027FDD">
        <w:rPr>
          <w:b/>
        </w:rPr>
        <w:t>Presentations</w:t>
      </w:r>
      <w:r>
        <w:rPr>
          <w:b/>
        </w:rPr>
        <w:t>:</w:t>
      </w:r>
    </w:p>
    <w:p w14:paraId="47387ED5" w14:textId="77777777" w:rsidR="00831064" w:rsidRDefault="00831064" w:rsidP="00831064">
      <w:pPr>
        <w:pStyle w:val="ListParagraph"/>
        <w:numPr>
          <w:ilvl w:val="0"/>
          <w:numId w:val="15"/>
        </w:numPr>
        <w:ind w:left="1080"/>
      </w:pPr>
      <w:r>
        <w:t>Auditor Consistency: Mike Stolze and sub-team</w:t>
      </w:r>
    </w:p>
    <w:p w14:paraId="5D669987" w14:textId="77777777" w:rsidR="00831064" w:rsidRDefault="00831064" w:rsidP="00831064">
      <w:pPr>
        <w:pStyle w:val="ListParagraph"/>
        <w:numPr>
          <w:ilvl w:val="0"/>
          <w:numId w:val="15"/>
        </w:numPr>
        <w:ind w:left="1080"/>
      </w:pPr>
      <w:r>
        <w:t>Auditor Advisories: Robert Nixon</w:t>
      </w:r>
    </w:p>
    <w:p w14:paraId="441CBC50" w14:textId="77777777" w:rsidR="00831064" w:rsidRDefault="00831064" w:rsidP="00831064">
      <w:pPr>
        <w:pStyle w:val="ListParagraph"/>
        <w:numPr>
          <w:ilvl w:val="0"/>
          <w:numId w:val="15"/>
        </w:numPr>
        <w:ind w:left="1080"/>
      </w:pPr>
      <w:r>
        <w:t>NCR Writing and Voided NCRs: Ethan Akins</w:t>
      </w:r>
    </w:p>
    <w:p w14:paraId="1D7134F6" w14:textId="77777777" w:rsidR="00831064" w:rsidRDefault="00831064" w:rsidP="00831064">
      <w:pPr>
        <w:pStyle w:val="ListParagraph"/>
        <w:numPr>
          <w:ilvl w:val="0"/>
          <w:numId w:val="15"/>
        </w:numPr>
        <w:ind w:left="1080"/>
      </w:pPr>
      <w:r>
        <w:t>Checklist Strategy: Nigel Cook</w:t>
      </w:r>
    </w:p>
    <w:p w14:paraId="1B098A6D" w14:textId="77777777" w:rsidR="00831064" w:rsidRDefault="00831064" w:rsidP="00831064">
      <w:pPr>
        <w:pStyle w:val="ListParagraph"/>
        <w:rPr>
          <w:b/>
        </w:rPr>
      </w:pPr>
    </w:p>
    <w:p w14:paraId="58102EE5" w14:textId="77777777" w:rsidR="00831064" w:rsidRDefault="00831064" w:rsidP="00831064">
      <w:pPr>
        <w:pStyle w:val="ListParagraph"/>
        <w:rPr>
          <w:b/>
        </w:rPr>
      </w:pPr>
      <w:r w:rsidRPr="00027FDD">
        <w:rPr>
          <w:b/>
        </w:rPr>
        <w:t>Sunday Presentations</w:t>
      </w:r>
      <w:r>
        <w:rPr>
          <w:b/>
        </w:rPr>
        <w:t>:</w:t>
      </w:r>
    </w:p>
    <w:p w14:paraId="7FE3E2FA" w14:textId="77777777" w:rsidR="00831064" w:rsidRPr="00027FDD" w:rsidRDefault="00831064" w:rsidP="00831064">
      <w:pPr>
        <w:pStyle w:val="ListParagraph"/>
        <w:rPr>
          <w:b/>
        </w:rPr>
      </w:pPr>
    </w:p>
    <w:p w14:paraId="64877E37" w14:textId="77777777" w:rsidR="00831064" w:rsidRDefault="00831064" w:rsidP="00831064">
      <w:pPr>
        <w:pStyle w:val="ListParagraph"/>
        <w:numPr>
          <w:ilvl w:val="0"/>
          <w:numId w:val="15"/>
        </w:numPr>
        <w:ind w:left="1080"/>
      </w:pPr>
      <w:r w:rsidRPr="00F32703">
        <w:rPr>
          <w:b/>
        </w:rPr>
        <w:t>IVD:</w:t>
      </w:r>
      <w:r>
        <w:t xml:space="preserve"> Hal Abel </w:t>
      </w:r>
    </w:p>
    <w:p w14:paraId="3D01E550" w14:textId="77777777" w:rsidR="00831064" w:rsidRDefault="00831064" w:rsidP="00831064">
      <w:pPr>
        <w:ind w:left="1080"/>
      </w:pPr>
      <w:r>
        <w:t>This is a carryover presentation from October 2015</w:t>
      </w:r>
    </w:p>
    <w:p w14:paraId="1BA35A18" w14:textId="0E2EBF5F" w:rsidR="00EA7C09" w:rsidRDefault="00831064" w:rsidP="0036727E">
      <w:pPr>
        <w:pStyle w:val="ListParagraph"/>
        <w:numPr>
          <w:ilvl w:val="0"/>
          <w:numId w:val="28"/>
        </w:numPr>
      </w:pPr>
      <w:r w:rsidRPr="0036727E">
        <w:rPr>
          <w:b/>
        </w:rPr>
        <w:t>Prime Escapes</w:t>
      </w:r>
      <w:r>
        <w:t xml:space="preserve">: </w:t>
      </w:r>
      <w:r w:rsidR="00EA7C09" w:rsidRPr="00EA7C09">
        <w:t>Sub-team of Hal Abel, Jeremy Phillips, Michael Coleman, Ethan Akins to start working on their auditor conference presentation of "Prime escapes, what sort of issues are the prime</w:t>
      </w:r>
      <w:r w:rsidR="00EA7C09">
        <w:t>s seeing. (e.g. top 10 issues)</w:t>
      </w:r>
      <w:r w:rsidR="00F32703">
        <w:t>.  Nothing to present, each prime will present their findings separately.</w:t>
      </w:r>
      <w:r w:rsidR="00FF11CA">
        <w:t xml:space="preserve">  </w:t>
      </w:r>
    </w:p>
    <w:p w14:paraId="4EFE4A32" w14:textId="77777777" w:rsidR="00EA7C09" w:rsidRDefault="00EA7C09" w:rsidP="00EA7C09">
      <w:pPr>
        <w:pStyle w:val="ListParagraph"/>
        <w:ind w:left="1440"/>
      </w:pPr>
    </w:p>
    <w:p w14:paraId="7267F4FA" w14:textId="561CF731" w:rsidR="00831064" w:rsidRDefault="00831064" w:rsidP="0036727E">
      <w:pPr>
        <w:pStyle w:val="ListParagraph"/>
        <w:numPr>
          <w:ilvl w:val="0"/>
          <w:numId w:val="28"/>
        </w:numPr>
      </w:pPr>
      <w:r w:rsidRPr="0036727E">
        <w:rPr>
          <w:b/>
        </w:rPr>
        <w:t>Cessna Specification System Changes:</w:t>
      </w:r>
      <w:r>
        <w:t xml:space="preserve"> </w:t>
      </w:r>
      <w:r w:rsidR="00EA7C09" w:rsidRPr="00EA7C09">
        <w:t>Jeremy Phillips to start working on his auditor conference presentation of "Cessn</w:t>
      </w:r>
      <w:r w:rsidR="00EA7C09">
        <w:t>a Specification System Changes"</w:t>
      </w:r>
      <w:r w:rsidR="00F32703">
        <w:t>.  No update presented.</w:t>
      </w:r>
    </w:p>
    <w:p w14:paraId="6D6F4819" w14:textId="7787CC58" w:rsidR="00EA7C09" w:rsidRDefault="00EA7C09" w:rsidP="00EA7C09">
      <w:pPr>
        <w:pStyle w:val="ListParagraph"/>
        <w:ind w:left="1080"/>
      </w:pPr>
    </w:p>
    <w:p w14:paraId="15AAAB24" w14:textId="1F039342" w:rsidR="00831064" w:rsidRDefault="00831064" w:rsidP="0036727E">
      <w:pPr>
        <w:pStyle w:val="ListParagraph"/>
        <w:numPr>
          <w:ilvl w:val="0"/>
          <w:numId w:val="28"/>
        </w:numPr>
      </w:pPr>
      <w:r w:rsidRPr="0036727E">
        <w:rPr>
          <w:b/>
        </w:rPr>
        <w:t>Specification Status (Superseded, replaced by, etc.):</w:t>
      </w:r>
      <w:r>
        <w:t xml:space="preserve"> </w:t>
      </w:r>
      <w:r w:rsidR="00EA7C09" w:rsidRPr="00EA7C09">
        <w:t xml:space="preserve">Sub-team of Mike </w:t>
      </w:r>
      <w:proofErr w:type="spellStart"/>
      <w:r w:rsidR="00EA7C09" w:rsidRPr="00EA7C09">
        <w:t>Noettl</w:t>
      </w:r>
      <w:proofErr w:type="spellEnd"/>
      <w:r w:rsidR="00EA7C09" w:rsidRPr="00EA7C09">
        <w:t xml:space="preserve">, Hal Abel, Mike Coleman, Susan Lewis, Robert Nixon to start working on their auditor conference presentation of "Specification Status </w:t>
      </w:r>
      <w:r w:rsidR="00F32703">
        <w:t xml:space="preserve">(Superseded, replaced by, </w:t>
      </w:r>
      <w:r w:rsidR="00C751C7">
        <w:t>etc.</w:t>
      </w:r>
      <w:r w:rsidR="00F32703">
        <w:t xml:space="preserve">)".  Mike </w:t>
      </w:r>
      <w:proofErr w:type="spellStart"/>
      <w:r w:rsidR="00F32703">
        <w:t>Noettl</w:t>
      </w:r>
      <w:proofErr w:type="spellEnd"/>
      <w:r w:rsidR="00F32703">
        <w:t xml:space="preserve"> to present at Auditor Conference.</w:t>
      </w:r>
    </w:p>
    <w:p w14:paraId="7894EF6B" w14:textId="77777777" w:rsidR="00EA7C09" w:rsidRDefault="00EA7C09" w:rsidP="00EA7C09">
      <w:pPr>
        <w:pStyle w:val="ListParagraph"/>
        <w:ind w:left="1080"/>
      </w:pPr>
    </w:p>
    <w:p w14:paraId="4D5497CE" w14:textId="2A18EDAC" w:rsidR="00EA7C09" w:rsidRDefault="00831064" w:rsidP="0036727E">
      <w:pPr>
        <w:pStyle w:val="ListParagraph"/>
        <w:numPr>
          <w:ilvl w:val="0"/>
          <w:numId w:val="28"/>
        </w:numPr>
      </w:pPr>
      <w:r w:rsidRPr="0036727E">
        <w:rPr>
          <w:b/>
        </w:rPr>
        <w:t>Zinc/Nickel Plating:</w:t>
      </w:r>
      <w:r>
        <w:t xml:space="preserve"> </w:t>
      </w:r>
      <w:r w:rsidR="00EA7C09" w:rsidRPr="00EA7C09">
        <w:t xml:space="preserve">Sub-team of Mike Coleman (Lead), Jim Cummings, Ethan Akins to start working on their auditor conference presentation on Zinc/Nickel Plating". </w:t>
      </w:r>
      <w:r w:rsidR="00F32703">
        <w:t xml:space="preserve"> Boeing to present at the Auditor Conference.</w:t>
      </w:r>
    </w:p>
    <w:p w14:paraId="41509373" w14:textId="77777777" w:rsidR="00EA7C09" w:rsidRDefault="00EA7C09" w:rsidP="00EA7C09">
      <w:pPr>
        <w:pStyle w:val="ListParagraph"/>
      </w:pPr>
    </w:p>
    <w:p w14:paraId="4331778D" w14:textId="48FDFF2E" w:rsidR="00EA7C09" w:rsidRDefault="00831064" w:rsidP="0036727E">
      <w:pPr>
        <w:pStyle w:val="ListParagraph"/>
        <w:numPr>
          <w:ilvl w:val="0"/>
          <w:numId w:val="28"/>
        </w:numPr>
      </w:pPr>
      <w:r w:rsidRPr="0036727E">
        <w:rPr>
          <w:b/>
        </w:rPr>
        <w:t>Thickness Measurement</w:t>
      </w:r>
      <w:r w:rsidR="00EA7C09">
        <w:t>: Sub-team of Mike Coleman (Lead), Carleen Brubaker, Stephen Judge, Charlie Costello and Nigel Cook to start working on their auditor conference presentation on Thickness Measurement</w:t>
      </w:r>
      <w:r w:rsidR="00F32703">
        <w:t>.   Team reviewed presentation.</w:t>
      </w:r>
    </w:p>
    <w:p w14:paraId="12914785" w14:textId="77777777" w:rsidR="00EA7C09" w:rsidRDefault="00EA7C09" w:rsidP="00EA7C09">
      <w:pPr>
        <w:pStyle w:val="ListParagraph"/>
        <w:ind w:left="1080"/>
      </w:pPr>
    </w:p>
    <w:p w14:paraId="5DA7929E" w14:textId="44188E06" w:rsidR="00831064" w:rsidRDefault="00831064" w:rsidP="0036727E">
      <w:pPr>
        <w:pStyle w:val="ListParagraph"/>
        <w:numPr>
          <w:ilvl w:val="0"/>
          <w:numId w:val="28"/>
        </w:numPr>
      </w:pPr>
      <w:r w:rsidRPr="0036727E">
        <w:rPr>
          <w:b/>
        </w:rPr>
        <w:t>Surface Roughness Measurement</w:t>
      </w:r>
      <w:r>
        <w:t xml:space="preserve">: </w:t>
      </w:r>
      <w:r w:rsidR="00EA7C09" w:rsidRPr="00EA7C09">
        <w:t xml:space="preserve">Sub-team of Karyn Deming (lead), Mike </w:t>
      </w:r>
      <w:proofErr w:type="spellStart"/>
      <w:r w:rsidR="00EA7C09" w:rsidRPr="00EA7C09">
        <w:t>Noettl</w:t>
      </w:r>
      <w:proofErr w:type="spellEnd"/>
      <w:r w:rsidR="00EA7C09" w:rsidRPr="00EA7C09">
        <w:t xml:space="preserve">, Kim Porter, Zia Usman, Mike Stolze, Robert Nixon to start working on their auditor conference presentation </w:t>
      </w:r>
      <w:r w:rsidR="00EA7C09">
        <w:t>on Surface Roughness Measurement.</w:t>
      </w:r>
      <w:r w:rsidR="00F32703">
        <w:t xml:space="preserve">  Reviewed in presentation, TBD who will present at the Auditor Conference.</w:t>
      </w:r>
    </w:p>
    <w:p w14:paraId="7286D735" w14:textId="584C339F" w:rsidR="000432DF" w:rsidRDefault="000432DF" w:rsidP="000432DF">
      <w:pPr>
        <w:pStyle w:val="Heading1"/>
      </w:pPr>
      <w:r w:rsidRPr="00161D4F">
        <w:t>auditor consistency</w:t>
      </w:r>
      <w:r w:rsidR="00DE1991">
        <w:t xml:space="preserve"> - OPen</w:t>
      </w:r>
    </w:p>
    <w:p w14:paraId="7286D736" w14:textId="2238F925" w:rsidR="000432DF" w:rsidRDefault="000432DF" w:rsidP="000432DF">
      <w:pPr>
        <w:pStyle w:val="Body"/>
      </w:pPr>
      <w:r>
        <w:t xml:space="preserve">Mike </w:t>
      </w:r>
      <w:r w:rsidR="00712B5F">
        <w:t>Coleman</w:t>
      </w:r>
      <w:r>
        <w:t xml:space="preserve"> gave a presentation on auditor consistency. The Task Group was </w:t>
      </w:r>
      <w:r w:rsidRPr="0036727E">
        <w:t>green for all</w:t>
      </w:r>
      <w:r>
        <w:t xml:space="preserve"> dashboard metrics.</w:t>
      </w:r>
    </w:p>
    <w:p w14:paraId="7286D737" w14:textId="77777777" w:rsidR="000432DF" w:rsidRDefault="000432DF" w:rsidP="000432DF">
      <w:pPr>
        <w:pStyle w:val="Body"/>
      </w:pPr>
      <w:r>
        <w:t>See item 4.0</w:t>
      </w:r>
    </w:p>
    <w:p w14:paraId="7286D738" w14:textId="77777777" w:rsidR="000432DF" w:rsidRDefault="000432DF" w:rsidP="000432DF">
      <w:pPr>
        <w:keepNext/>
        <w:keepLines/>
        <w:numPr>
          <w:ilvl w:val="0"/>
          <w:numId w:val="1"/>
        </w:numPr>
        <w:tabs>
          <w:tab w:val="num" w:pos="1170"/>
        </w:tabs>
        <w:ind w:left="709" w:hanging="709"/>
        <w:outlineLvl w:val="0"/>
        <w:rPr>
          <w:rFonts w:eastAsiaTheme="majorEastAsia" w:cstheme="majorBidi"/>
          <w:b/>
          <w:bCs/>
          <w:caps/>
          <w:szCs w:val="28"/>
        </w:rPr>
      </w:pPr>
      <w:r>
        <w:rPr>
          <w:rFonts w:eastAsiaTheme="majorEastAsia" w:cstheme="majorBidi"/>
          <w:b/>
          <w:bCs/>
          <w:caps/>
          <w:szCs w:val="28"/>
        </w:rPr>
        <w:t>any other business</w:t>
      </w:r>
      <w:r w:rsidRPr="009610A4">
        <w:rPr>
          <w:rFonts w:eastAsiaTheme="majorEastAsia" w:cstheme="majorBidi"/>
          <w:b/>
          <w:bCs/>
          <w:caps/>
          <w:szCs w:val="28"/>
        </w:rPr>
        <w:t xml:space="preserve"> – OPEN </w:t>
      </w:r>
    </w:p>
    <w:p w14:paraId="7286D739" w14:textId="77777777" w:rsidR="000432DF" w:rsidRDefault="000432DF" w:rsidP="000432DF">
      <w:pPr>
        <w:pStyle w:val="Body"/>
      </w:pPr>
      <w:r w:rsidRPr="00C166DF">
        <w:rPr>
          <w:b/>
        </w:rPr>
        <w:t>Approval of Audit Handbook Changes</w:t>
      </w:r>
      <w:r w:rsidRPr="00CB1A76">
        <w:rPr>
          <w:b/>
        </w:rPr>
        <w:t>:</w:t>
      </w:r>
      <w:r>
        <w:t xml:space="preserve"> Nigel Cook presented the changes to the CP Audit Handbook.</w:t>
      </w:r>
    </w:p>
    <w:p w14:paraId="7286D73A" w14:textId="3ED76153" w:rsidR="000432DF" w:rsidRDefault="003E1AA3" w:rsidP="000432DF">
      <w:pPr>
        <w:ind w:left="720"/>
      </w:pPr>
      <w:r>
        <w:t>Motion made by Hal Abel</w:t>
      </w:r>
      <w:r w:rsidR="000432DF" w:rsidRPr="009610A4">
        <w:t xml:space="preserve"> and seconded by </w:t>
      </w:r>
      <w:r>
        <w:t>Susan Lewis</w:t>
      </w:r>
      <w:r w:rsidR="000432DF">
        <w:t xml:space="preserve"> </w:t>
      </w:r>
      <w:r w:rsidR="000432DF" w:rsidRPr="009610A4">
        <w:t xml:space="preserve">to approve the </w:t>
      </w:r>
      <w:r w:rsidR="000432DF">
        <w:t>changes to the CP Audit Handbook</w:t>
      </w:r>
      <w:r w:rsidR="000432DF" w:rsidRPr="009610A4">
        <w:t xml:space="preserve">. </w:t>
      </w:r>
      <w:r w:rsidR="000432DF">
        <w:t>Motion passed.</w:t>
      </w:r>
    </w:p>
    <w:p w14:paraId="6A38EF3D" w14:textId="707816FC" w:rsidR="003E1AA3" w:rsidRDefault="000432DF" w:rsidP="000432DF">
      <w:pPr>
        <w:keepLines/>
        <w:rPr>
          <w:b/>
          <w:i/>
        </w:rPr>
      </w:pPr>
      <w:r>
        <w:rPr>
          <w:b/>
          <w:i/>
        </w:rPr>
        <w:t>ACTION ITEM</w:t>
      </w:r>
      <w:r w:rsidRPr="009610A4">
        <w:rPr>
          <w:b/>
          <w:i/>
        </w:rPr>
        <w:t xml:space="preserve">: Nigel Cook to </w:t>
      </w:r>
      <w:r>
        <w:rPr>
          <w:b/>
          <w:i/>
        </w:rPr>
        <w:t xml:space="preserve">issue the amended CP Audit Handbook. </w:t>
      </w:r>
      <w:r w:rsidRPr="009610A4">
        <w:rPr>
          <w:b/>
          <w:i/>
        </w:rPr>
        <w:t xml:space="preserve">(Due Date: </w:t>
      </w:r>
      <w:r w:rsidR="003E1AA3">
        <w:rPr>
          <w:b/>
          <w:i/>
        </w:rPr>
        <w:t>31-July</w:t>
      </w:r>
      <w:r w:rsidRPr="009610A4">
        <w:rPr>
          <w:b/>
          <w:i/>
        </w:rPr>
        <w:t>-201</w:t>
      </w:r>
      <w:r>
        <w:rPr>
          <w:b/>
          <w:i/>
        </w:rPr>
        <w:t>6</w:t>
      </w:r>
      <w:r w:rsidRPr="009610A4">
        <w:rPr>
          <w:b/>
          <w:i/>
        </w:rPr>
        <w:t>)</w:t>
      </w:r>
      <w:r w:rsidR="003E1AA3">
        <w:rPr>
          <w:b/>
          <w:i/>
        </w:rPr>
        <w:t xml:space="preserve">  </w:t>
      </w:r>
    </w:p>
    <w:p w14:paraId="7286D73C" w14:textId="2E311EA0" w:rsidR="000432DF" w:rsidRDefault="000432DF" w:rsidP="000432DF">
      <w:pPr>
        <w:pStyle w:val="Body"/>
      </w:pPr>
      <w:r w:rsidRPr="00C166DF">
        <w:rPr>
          <w:b/>
        </w:rPr>
        <w:t>Approval of Audit Review Guideline Changes</w:t>
      </w:r>
      <w:r w:rsidRPr="00CB1A76">
        <w:rPr>
          <w:b/>
        </w:rPr>
        <w:t>:</w:t>
      </w:r>
      <w:r>
        <w:t xml:space="preserve"> </w:t>
      </w:r>
      <w:r w:rsidR="003411BE">
        <w:t>There were no proposed</w:t>
      </w:r>
      <w:r>
        <w:t xml:space="preserve"> changes to the CP Audit Review Guidelines.</w:t>
      </w:r>
    </w:p>
    <w:p w14:paraId="0539F490" w14:textId="02767AFA" w:rsidR="00892054" w:rsidRDefault="00892054" w:rsidP="000432DF">
      <w:pPr>
        <w:pStyle w:val="Body"/>
      </w:pPr>
      <w:r>
        <w:rPr>
          <w:b/>
        </w:rPr>
        <w:t xml:space="preserve">Job Tracker: </w:t>
      </w:r>
      <w:r w:rsidR="00F7401A">
        <w:t xml:space="preserve">A job tracker functionality was requested by NMC and has been implemented by PRI. It tracks 8 fields (Process, Part Number, </w:t>
      </w:r>
      <w:proofErr w:type="spellStart"/>
      <w:r w:rsidR="00F7401A">
        <w:t>Inprocess</w:t>
      </w:r>
      <w:proofErr w:type="spellEnd"/>
      <w:r w:rsidR="00F7401A">
        <w:t xml:space="preserve">/Historic, Customer, Subscriber, Specification, Operator and Tool-ID). The functionality will be introduced in July and </w:t>
      </w:r>
      <w:r w:rsidR="003411BE">
        <w:t xml:space="preserve">will allow job audit data to be collected from </w:t>
      </w:r>
      <w:proofErr w:type="spellStart"/>
      <w:r w:rsidR="003411BE">
        <w:t>eAuditNet</w:t>
      </w:r>
      <w:proofErr w:type="spellEnd"/>
      <w:r w:rsidR="003411BE">
        <w:t>. F</w:t>
      </w:r>
      <w:r w:rsidR="00F7401A">
        <w:t xml:space="preserve">or CP the reports will </w:t>
      </w:r>
      <w:r w:rsidR="003411BE">
        <w:t>be able to gather data for audits conducted on or after 5</w:t>
      </w:r>
      <w:r w:rsidR="00F82B6D">
        <w:t>-</w:t>
      </w:r>
      <w:r w:rsidR="003411BE">
        <w:t>Jun</w:t>
      </w:r>
      <w:r w:rsidR="00F82B6D">
        <w:t>-</w:t>
      </w:r>
      <w:r w:rsidR="003411BE">
        <w:t>2016</w:t>
      </w:r>
      <w:r w:rsidR="00F7401A">
        <w:t>.</w:t>
      </w:r>
    </w:p>
    <w:p w14:paraId="5EB35AF5" w14:textId="0D95FF9F" w:rsidR="000D4540" w:rsidRDefault="000D4540" w:rsidP="00E713A8">
      <w:pPr>
        <w:pStyle w:val="ActionItem"/>
      </w:pPr>
      <w:r>
        <w:t>A</w:t>
      </w:r>
      <w:r w:rsidR="003411BE">
        <w:t xml:space="preserve">CTION ITEM: </w:t>
      </w:r>
      <w:r>
        <w:t>Nigel</w:t>
      </w:r>
      <w:r w:rsidR="003411BE">
        <w:t xml:space="preserve"> Cook</w:t>
      </w:r>
      <w:r>
        <w:t xml:space="preserve"> to </w:t>
      </w:r>
      <w:r w:rsidR="003411BE">
        <w:t xml:space="preserve">issue </w:t>
      </w:r>
      <w:r>
        <w:t>an auditor advisor</w:t>
      </w:r>
      <w:r w:rsidR="003411BE">
        <w:t>y on the new job tracker functionality. (Due Date: 12-Jul-2016)</w:t>
      </w:r>
    </w:p>
    <w:p w14:paraId="30211670" w14:textId="0C47B103" w:rsidR="002735E4" w:rsidRDefault="002735E4" w:rsidP="00285C58">
      <w:pPr>
        <w:pStyle w:val="Body"/>
      </w:pPr>
      <w:r w:rsidRPr="002735E4">
        <w:rPr>
          <w:b/>
        </w:rPr>
        <w:t xml:space="preserve">Compliance </w:t>
      </w:r>
      <w:r w:rsidR="00C751C7" w:rsidRPr="002735E4">
        <w:rPr>
          <w:b/>
        </w:rPr>
        <w:t>Assessment</w:t>
      </w:r>
      <w:r w:rsidRPr="002735E4">
        <w:rPr>
          <w:b/>
        </w:rPr>
        <w:t xml:space="preserve"> Guidance</w:t>
      </w:r>
      <w:r w:rsidR="001B008C">
        <w:rPr>
          <w:b/>
        </w:rPr>
        <w:t xml:space="preserve"> (CAG)</w:t>
      </w:r>
      <w:r>
        <w:t xml:space="preserve"> </w:t>
      </w:r>
      <w:r w:rsidRPr="002735E4">
        <w:rPr>
          <w:b/>
        </w:rPr>
        <w:t>Revision:</w:t>
      </w:r>
      <w:r w:rsidR="00C90D1D">
        <w:rPr>
          <w:b/>
        </w:rPr>
        <w:t xml:space="preserve"> </w:t>
      </w:r>
      <w:r w:rsidR="00712B5F">
        <w:t>Supplier recommends updat</w:t>
      </w:r>
      <w:r w:rsidR="00712B5F" w:rsidRPr="00712B5F">
        <w:t>ing</w:t>
      </w:r>
      <w:r w:rsidR="00712B5F">
        <w:t xml:space="preserve">:  </w:t>
      </w:r>
      <w:r>
        <w:t xml:space="preserve"> AC7108 Rev G. </w:t>
      </w:r>
      <w:proofErr w:type="gramStart"/>
      <w:r>
        <w:t>5.17.2  Do</w:t>
      </w:r>
      <w:proofErr w:type="gramEnd"/>
      <w:r>
        <w:t xml:space="preserve"> the lot inspection and lot test procedures require sufficient data to be recorded to demonstrate that the sample size and acceptance criteria </w:t>
      </w:r>
      <w:r w:rsidRPr="00285C58">
        <w:t>were</w:t>
      </w:r>
      <w:r>
        <w:t xml:space="preserve"> fully met, and that results are traceable to the person(s) who actually did the inspection/test? </w:t>
      </w:r>
    </w:p>
    <w:p w14:paraId="6D690A38" w14:textId="109927A2" w:rsidR="002735E4" w:rsidRDefault="002735E4" w:rsidP="000432DF">
      <w:pPr>
        <w:pStyle w:val="Body"/>
      </w:pPr>
      <w:r>
        <w:t xml:space="preserve">– Compliance Assessment Guidance: Recording of just an average </w:t>
      </w:r>
      <w:r w:rsidRPr="00712B5F">
        <w:rPr>
          <w:b/>
          <w:i/>
        </w:rPr>
        <w:t>may not</w:t>
      </w:r>
      <w:r>
        <w:t xml:space="preserve"> be acceptable to demonstrate each item measured met the acceptance requirement. In process checks, e.g. coating thickness, that are done to aid processing do not require recording.</w:t>
      </w:r>
    </w:p>
    <w:p w14:paraId="5E922241" w14:textId="44498153" w:rsidR="002735E4" w:rsidRDefault="002735E4" w:rsidP="000432DF">
      <w:pPr>
        <w:pStyle w:val="Body"/>
      </w:pPr>
      <w:r>
        <w:t xml:space="preserve">Revise </w:t>
      </w:r>
      <w:r w:rsidR="00712B5F">
        <w:t>CAG</w:t>
      </w:r>
      <w:r w:rsidR="00285C58">
        <w:t xml:space="preserve"> to say</w:t>
      </w:r>
      <w:r>
        <w:t>:</w:t>
      </w:r>
    </w:p>
    <w:p w14:paraId="46E3C264" w14:textId="77777777" w:rsidR="002735E4" w:rsidRDefault="002735E4" w:rsidP="000432DF">
      <w:pPr>
        <w:pStyle w:val="Body"/>
      </w:pPr>
      <w:r>
        <w:t xml:space="preserve">-Individual values must be recorded </w:t>
      </w:r>
    </w:p>
    <w:p w14:paraId="20860FE0" w14:textId="77777777" w:rsidR="002735E4" w:rsidRDefault="002735E4" w:rsidP="000432DF">
      <w:pPr>
        <w:pStyle w:val="Body"/>
      </w:pPr>
      <w:r>
        <w:t xml:space="preserve">-Max &amp; min values must be recorded </w:t>
      </w:r>
    </w:p>
    <w:p w14:paraId="22EB90F5" w14:textId="040BC431" w:rsidR="002735E4" w:rsidRDefault="002735E4" w:rsidP="000432DF">
      <w:pPr>
        <w:pStyle w:val="Body"/>
      </w:pPr>
      <w:r>
        <w:t xml:space="preserve">-Customer specification requirements must be recorded </w:t>
      </w:r>
    </w:p>
    <w:p w14:paraId="0EE5278E" w14:textId="3617172D" w:rsidR="002C463E" w:rsidRDefault="002C463E" w:rsidP="000432DF">
      <w:pPr>
        <w:pStyle w:val="Body"/>
      </w:pPr>
      <w:r>
        <w:t>The Task Group reviewed the request and also reviewed the content of the CP Audit Handbook and felt it was sufficient.</w:t>
      </w:r>
    </w:p>
    <w:p w14:paraId="13A07919" w14:textId="6B53EE7C" w:rsidR="00995055" w:rsidRPr="00F32703" w:rsidRDefault="00C90D1D" w:rsidP="00E713A8">
      <w:pPr>
        <w:pStyle w:val="Body"/>
      </w:pPr>
      <w:r w:rsidRPr="00F32703">
        <w:t>Motion made by Ste</w:t>
      </w:r>
      <w:r w:rsidR="00F32703" w:rsidRPr="00F32703">
        <w:t>ph</w:t>
      </w:r>
      <w:r w:rsidRPr="00F32703">
        <w:t>an</w:t>
      </w:r>
      <w:r w:rsidR="00F32703" w:rsidRPr="00F32703">
        <w:t xml:space="preserve">e </w:t>
      </w:r>
      <w:proofErr w:type="spellStart"/>
      <w:r w:rsidR="00F32703" w:rsidRPr="00F32703">
        <w:t>Chaumeil</w:t>
      </w:r>
      <w:proofErr w:type="spellEnd"/>
      <w:r w:rsidRPr="00F32703">
        <w:t xml:space="preserve">, seconded by Susan Lewis to </w:t>
      </w:r>
      <w:r w:rsidR="002C463E">
        <w:t>leave</w:t>
      </w:r>
      <w:r w:rsidR="002C463E" w:rsidRPr="00F32703">
        <w:t xml:space="preserve"> </w:t>
      </w:r>
      <w:r w:rsidRPr="00F32703">
        <w:t>CAG as is</w:t>
      </w:r>
      <w:r w:rsidR="002C463E">
        <w:t>.</w:t>
      </w:r>
      <w:r w:rsidR="00FC33B4">
        <w:t xml:space="preserve"> Motion passed. </w:t>
      </w:r>
    </w:p>
    <w:p w14:paraId="6FFC047E" w14:textId="52F31DA0" w:rsidR="00315988" w:rsidRDefault="00995055" w:rsidP="00E713A8">
      <w:pPr>
        <w:pStyle w:val="Body"/>
      </w:pPr>
      <w:r w:rsidRPr="00995055">
        <w:rPr>
          <w:b/>
        </w:rPr>
        <w:t>Frequency of Nad</w:t>
      </w:r>
      <w:r w:rsidR="002C463E">
        <w:rPr>
          <w:b/>
        </w:rPr>
        <w:t>c</w:t>
      </w:r>
      <w:r w:rsidRPr="00995055">
        <w:rPr>
          <w:b/>
        </w:rPr>
        <w:t>ap Meetings:</w:t>
      </w:r>
      <w:r>
        <w:rPr>
          <w:b/>
        </w:rPr>
        <w:t xml:space="preserve">  </w:t>
      </w:r>
      <w:r>
        <w:t xml:space="preserve">The PRI Board of Directors recently began a discussion on the frequency of Nadcap Meetings. The Board is interested in hearing your opinion on a variety of </w:t>
      </w:r>
      <w:r>
        <w:lastRenderedPageBreak/>
        <w:t>questions related to this subject.</w:t>
      </w:r>
      <w:r w:rsidR="002C463E">
        <w:t xml:space="preserve"> The </w:t>
      </w:r>
      <w:r w:rsidR="00315988" w:rsidRPr="00E713A8">
        <w:t>Task</w:t>
      </w:r>
      <w:r w:rsidR="00315988">
        <w:t xml:space="preserve"> </w:t>
      </w:r>
      <w:r w:rsidR="002C463E">
        <w:t>G</w:t>
      </w:r>
      <w:r w:rsidR="00315988">
        <w:t>roup reviewed and completed the requested questionnaire.</w:t>
      </w:r>
      <w:r w:rsidR="003E1AA3">
        <w:t xml:space="preserve">  TG decision to maintain current </w:t>
      </w:r>
      <w:r w:rsidR="00C751C7">
        <w:t>frequency</w:t>
      </w:r>
      <w:r w:rsidR="003E1AA3">
        <w:t>.</w:t>
      </w:r>
    </w:p>
    <w:p w14:paraId="62B31DED" w14:textId="5A7A4537" w:rsidR="0033369D" w:rsidRDefault="0033369D" w:rsidP="00E713A8">
      <w:pPr>
        <w:pStyle w:val="Body"/>
      </w:pPr>
      <w:r w:rsidRPr="00E713A8">
        <w:rPr>
          <w:b/>
        </w:rPr>
        <w:t>Document Format:</w:t>
      </w:r>
      <w:r>
        <w:t xml:space="preserve">  </w:t>
      </w:r>
      <w:r w:rsidR="00E52B9E">
        <w:t>A c</w:t>
      </w:r>
      <w:r w:rsidRPr="0033369D">
        <w:t xml:space="preserve">omment </w:t>
      </w:r>
      <w:r w:rsidR="00E52B9E">
        <w:t>was</w:t>
      </w:r>
      <w:r w:rsidRPr="0033369D">
        <w:t xml:space="preserve"> </w:t>
      </w:r>
      <w:r w:rsidR="00E52B9E">
        <w:t xml:space="preserve">made </w:t>
      </w:r>
      <w:r w:rsidRPr="0033369D">
        <w:t xml:space="preserve">by </w:t>
      </w:r>
      <w:r w:rsidR="00E52B9E">
        <w:t xml:space="preserve">the </w:t>
      </w:r>
      <w:r w:rsidRPr="0033369D">
        <w:t xml:space="preserve">observer on </w:t>
      </w:r>
      <w:r w:rsidR="00E52B9E">
        <w:t>a</w:t>
      </w:r>
      <w:r w:rsidRPr="0033369D">
        <w:t>udit 173721</w:t>
      </w:r>
      <w:r w:rsidR="00E52B9E">
        <w:t xml:space="preserve"> that the auditor and supplier felt the shading used in Audit Criteria to identify modified scope questions made the questions difficult to read</w:t>
      </w:r>
      <w:r w:rsidRPr="0033369D">
        <w:t xml:space="preserve">. </w:t>
      </w:r>
      <w:r w:rsidR="00E52B9E">
        <w:t xml:space="preserve">The </w:t>
      </w:r>
      <w:r w:rsidRPr="0033369D">
        <w:t xml:space="preserve">Auditor </w:t>
      </w:r>
      <w:r w:rsidR="00C751C7" w:rsidRPr="0033369D">
        <w:t>Consistency</w:t>
      </w:r>
      <w:r w:rsidRPr="0033369D">
        <w:t xml:space="preserve"> Team recommended taking to TG</w:t>
      </w:r>
      <w:r>
        <w:t xml:space="preserve"> for </w:t>
      </w:r>
      <w:r w:rsidR="00C751C7">
        <w:t>discussion. Recommend</w:t>
      </w:r>
      <w:r>
        <w:t xml:space="preserve"> making AC documents available without shaded areas in the future.</w:t>
      </w:r>
    </w:p>
    <w:p w14:paraId="2725ACD0" w14:textId="3B779131" w:rsidR="0075678D" w:rsidRPr="00F32703" w:rsidRDefault="002C463E" w:rsidP="00E713A8">
      <w:pPr>
        <w:pStyle w:val="ActionItem"/>
      </w:pPr>
      <w:r>
        <w:t>ACTION ITEM</w:t>
      </w:r>
      <w:r w:rsidR="00F32703">
        <w:t xml:space="preserve">: Nigel Cook </w:t>
      </w:r>
      <w:r w:rsidR="00E52B9E">
        <w:t xml:space="preserve">to </w:t>
      </w:r>
      <w:r>
        <w:t xml:space="preserve">notify the AC template, t-frm-15, document owner that the shading </w:t>
      </w:r>
      <w:r w:rsidR="00E52B9E">
        <w:t>requirement for</w:t>
      </w:r>
      <w:r>
        <w:t xml:space="preserve"> modified questions is making the document difficult to read. (Due Date: 15-Jul-20</w:t>
      </w:r>
      <w:r w:rsidR="00E52B9E">
        <w:t>1</w:t>
      </w:r>
      <w:r>
        <w:t>6)</w:t>
      </w:r>
    </w:p>
    <w:p w14:paraId="72609DEF" w14:textId="77777777" w:rsidR="00FC33B4" w:rsidRDefault="0033369D" w:rsidP="00E713A8">
      <w:pPr>
        <w:ind w:left="720"/>
      </w:pPr>
      <w:r w:rsidRPr="0033369D">
        <w:rPr>
          <w:b/>
        </w:rPr>
        <w:t>Auditor Training:</w:t>
      </w:r>
      <w:r>
        <w:t xml:space="preserve"> Comment made by observer on Audit 173721. Auditor Consistency Team recommended taking to TG for </w:t>
      </w:r>
      <w:r w:rsidR="00E52B9E">
        <w:t>d</w:t>
      </w:r>
      <w:r>
        <w:t>iscussion.  The supplier asked if auditor could accept NCRs on-site. Auditor stated that per handbook/OP 1105 auditors are allowed to accept minor findings on-site, however this does not seem to be PRI policy.</w:t>
      </w:r>
      <w:r w:rsidR="00E52B9E">
        <w:t xml:space="preserve"> Nigel Cook reported that</w:t>
      </w:r>
      <w:r w:rsidR="00C33440">
        <w:t xml:space="preserve"> PRI allow</w:t>
      </w:r>
      <w:r w:rsidR="00F82EDB">
        <w:t xml:space="preserve"> minor NCRs </w:t>
      </w:r>
      <w:r w:rsidR="00C33440">
        <w:t xml:space="preserve">to be </w:t>
      </w:r>
      <w:r w:rsidR="00C751C7">
        <w:t>accepted</w:t>
      </w:r>
      <w:r w:rsidR="00C33440">
        <w:t xml:space="preserve"> </w:t>
      </w:r>
      <w:r w:rsidR="00F82EDB">
        <w:t xml:space="preserve">onsite, but does not require it. Auditors that do accept a NCR onsite have the possibility of getting </w:t>
      </w:r>
      <w:r w:rsidR="0036727E">
        <w:t>a lower score</w:t>
      </w:r>
      <w:r w:rsidR="00F82EDB">
        <w:t xml:space="preserve"> in their </w:t>
      </w:r>
      <w:r w:rsidR="00C33440">
        <w:t xml:space="preserve">auditor evaluation </w:t>
      </w:r>
      <w:r w:rsidR="0036727E">
        <w:t xml:space="preserve">if </w:t>
      </w:r>
      <w:r w:rsidR="00C33440">
        <w:t xml:space="preserve">the reason for accepting </w:t>
      </w:r>
      <w:r w:rsidR="0052693D">
        <w:t>them is</w:t>
      </w:r>
      <w:r w:rsidR="00C33440">
        <w:t xml:space="preserve"> </w:t>
      </w:r>
      <w:r w:rsidR="0036727E">
        <w:t xml:space="preserve">not </w:t>
      </w:r>
      <w:r w:rsidR="00E52B9E">
        <w:t>su</w:t>
      </w:r>
      <w:r w:rsidR="0036727E">
        <w:t>fficient</w:t>
      </w:r>
      <w:r w:rsidR="00F82EDB">
        <w:t>, so most do not accept on site.</w:t>
      </w:r>
      <w:r w:rsidR="00C33440">
        <w:t xml:space="preserve"> </w:t>
      </w:r>
    </w:p>
    <w:p w14:paraId="620F2D9B" w14:textId="30C499FB" w:rsidR="0075678D" w:rsidRPr="00195044" w:rsidRDefault="0075678D" w:rsidP="00E713A8">
      <w:pPr>
        <w:ind w:left="720"/>
      </w:pPr>
      <w:r w:rsidRPr="00195044">
        <w:t>Motion made by Zia</w:t>
      </w:r>
      <w:r w:rsidR="00D5465C" w:rsidRPr="00195044">
        <w:t xml:space="preserve"> Usmani and</w:t>
      </w:r>
      <w:r w:rsidRPr="00195044">
        <w:t xml:space="preserve"> second</w:t>
      </w:r>
      <w:r w:rsidR="00D5465C" w:rsidRPr="00195044">
        <w:t>ed by</w:t>
      </w:r>
      <w:r w:rsidRPr="00195044">
        <w:t xml:space="preserve"> Shawn</w:t>
      </w:r>
      <w:r w:rsidR="000D4540" w:rsidRPr="00195044">
        <w:t xml:space="preserve"> Vi</w:t>
      </w:r>
      <w:r w:rsidR="00D5465C" w:rsidRPr="00195044">
        <w:t>erthaler for no further action.</w:t>
      </w:r>
      <w:r w:rsidR="00195044">
        <w:t xml:space="preserve"> </w:t>
      </w:r>
      <w:r w:rsidR="00FC33B4">
        <w:t xml:space="preserve">Motion passed. </w:t>
      </w:r>
    </w:p>
    <w:p w14:paraId="553A6789" w14:textId="6010FE40" w:rsidR="00FF11CA" w:rsidRDefault="00FF11CA" w:rsidP="0087613A">
      <w:pPr>
        <w:ind w:left="720"/>
      </w:pPr>
      <w:proofErr w:type="spellStart"/>
      <w:r>
        <w:t>Karyn</w:t>
      </w:r>
      <w:proofErr w:type="spellEnd"/>
      <w:r>
        <w:t xml:space="preserve"> </w:t>
      </w:r>
      <w:proofErr w:type="spellStart"/>
      <w:r>
        <w:t>Demming</w:t>
      </w:r>
      <w:proofErr w:type="spellEnd"/>
      <w:r>
        <w:t xml:space="preserve"> questioned the ‘info only’ wording missing from specifications on the new checklist revisions.</w:t>
      </w:r>
      <w:r w:rsidR="0087613A">
        <w:t xml:space="preserve">   The wording was dropped upon the new checklist break outs. </w:t>
      </w:r>
    </w:p>
    <w:p w14:paraId="246CD04B" w14:textId="64C8FA8F" w:rsidR="0087613A" w:rsidRDefault="00C33440" w:rsidP="00E713A8">
      <w:pPr>
        <w:pStyle w:val="ActionItem"/>
      </w:pPr>
      <w:r w:rsidRPr="0087613A">
        <w:t>ACTION</w:t>
      </w:r>
      <w:r>
        <w:t xml:space="preserve"> ITEM</w:t>
      </w:r>
      <w:r w:rsidR="0087613A" w:rsidRPr="0087613A">
        <w:t xml:space="preserve">: Nigel Cook to get with </w:t>
      </w:r>
      <w:r>
        <w:t>S</w:t>
      </w:r>
      <w:r w:rsidR="0087613A" w:rsidRPr="0087613A">
        <w:t>cheduling to correct all checklists to include ‘info only’ with specifications listed.</w:t>
      </w:r>
      <w:r>
        <w:t xml:space="preserve"> (Due Date: 23-Jun-2016)</w:t>
      </w:r>
    </w:p>
    <w:p w14:paraId="16789D81" w14:textId="05165747" w:rsidR="0087613A" w:rsidRPr="0087613A" w:rsidRDefault="0087613A" w:rsidP="0087613A">
      <w:pPr>
        <w:ind w:left="720"/>
      </w:pPr>
      <w:r w:rsidRPr="0087613A">
        <w:t xml:space="preserve">Stephen Judge lead an open discussion to determine when solution temperature should be taken and recorded.  Is recording the temperature prior to </w:t>
      </w:r>
      <w:r w:rsidR="0052693D" w:rsidRPr="0087613A">
        <w:t>processing</w:t>
      </w:r>
      <w:r w:rsidRPr="0087613A">
        <w:t xml:space="preserve"> hardware </w:t>
      </w:r>
      <w:r w:rsidR="0052693D" w:rsidRPr="0087613A">
        <w:t>acceptable</w:t>
      </w:r>
      <w:r w:rsidRPr="0087613A">
        <w:t>, or should the temperature be taken while processing hardware?</w:t>
      </w:r>
      <w:r w:rsidR="007275B5">
        <w:t xml:space="preserve">  Checklist requirement AC7108 Rev H 5.3.3, referencing Appendix D.</w:t>
      </w:r>
    </w:p>
    <w:p w14:paraId="5A2A770D" w14:textId="2E62C057" w:rsidR="0087613A" w:rsidRDefault="00C33440" w:rsidP="00285C58">
      <w:pPr>
        <w:pStyle w:val="ActionItem"/>
      </w:pPr>
      <w:r>
        <w:t xml:space="preserve">ACTION ITEM: A sub-team of </w:t>
      </w:r>
      <w:r w:rsidR="0087613A">
        <w:t>Stephen</w:t>
      </w:r>
      <w:r>
        <w:t xml:space="preserve"> </w:t>
      </w:r>
      <w:r w:rsidR="0087613A">
        <w:t>Judge</w:t>
      </w:r>
      <w:r>
        <w:t xml:space="preserve"> (lead)</w:t>
      </w:r>
      <w:r w:rsidR="0087613A">
        <w:t xml:space="preserve">, </w:t>
      </w:r>
      <w:r>
        <w:t xml:space="preserve">Jim Cummings, Gene Wallace and </w:t>
      </w:r>
      <w:r w:rsidR="001D0C5A">
        <w:t xml:space="preserve">Christine Nesbitt </w:t>
      </w:r>
      <w:r>
        <w:t>to</w:t>
      </w:r>
      <w:r w:rsidR="0087613A">
        <w:t xml:space="preserve"> review </w:t>
      </w:r>
      <w:r>
        <w:t xml:space="preserve">the CP Audit Criteria </w:t>
      </w:r>
      <w:r w:rsidR="0087613A">
        <w:t xml:space="preserve">and </w:t>
      </w:r>
      <w:r>
        <w:t>the CP A</w:t>
      </w:r>
      <w:r w:rsidR="0087613A">
        <w:t xml:space="preserve">udit </w:t>
      </w:r>
      <w:r>
        <w:t>H</w:t>
      </w:r>
      <w:r w:rsidR="0087613A">
        <w:t xml:space="preserve">andbook </w:t>
      </w:r>
      <w:r>
        <w:t xml:space="preserve">and propose amendments </w:t>
      </w:r>
      <w:r w:rsidR="0087613A">
        <w:t xml:space="preserve">for recording </w:t>
      </w:r>
      <w:r w:rsidR="007275B5">
        <w:t xml:space="preserve">solution </w:t>
      </w:r>
      <w:r w:rsidR="0087613A">
        <w:t>temperatures.</w:t>
      </w:r>
      <w:r>
        <w:t xml:space="preserve"> (Due Date: 20-Oct-2016)</w:t>
      </w:r>
    </w:p>
    <w:p w14:paraId="7B3037A7" w14:textId="536E4E5F" w:rsidR="0068119E" w:rsidRDefault="0068119E" w:rsidP="00195044">
      <w:pPr>
        <w:ind w:left="720"/>
      </w:pPr>
      <w:r w:rsidRPr="0068119E">
        <w:rPr>
          <w:b/>
        </w:rPr>
        <w:t>OP 1114 App CP:</w:t>
      </w:r>
      <w:r>
        <w:t xml:space="preserve"> Nigel Cook reviewed proposed changes to OP 1114 to address the new job tracker functionality.</w:t>
      </w:r>
    </w:p>
    <w:p w14:paraId="0DADDA69" w14:textId="5172081F" w:rsidR="0068119E" w:rsidRDefault="0068119E" w:rsidP="0068119E">
      <w:pPr>
        <w:pStyle w:val="ActionItem"/>
      </w:pPr>
      <w:r w:rsidRPr="0068119E">
        <w:t>ACTION ITEM:</w:t>
      </w:r>
      <w:r>
        <w:t xml:space="preserve"> Nigel Cook to ballot OP 1114 App CP to address changes as a result of the new job tracker functionality. (Due Date: 31-July-2016)</w:t>
      </w:r>
    </w:p>
    <w:p w14:paraId="6E5F164B" w14:textId="320AFF60" w:rsidR="00B7777A" w:rsidRDefault="00C33440" w:rsidP="00195044">
      <w:pPr>
        <w:ind w:left="720"/>
      </w:pPr>
      <w:r w:rsidRPr="0068119E">
        <w:rPr>
          <w:b/>
        </w:rPr>
        <w:t>T</w:t>
      </w:r>
      <w:r w:rsidR="00195044" w:rsidRPr="0068119E">
        <w:rPr>
          <w:b/>
        </w:rPr>
        <w:t>ranslation of Checklists</w:t>
      </w:r>
      <w:r w:rsidRPr="0068119E">
        <w:rPr>
          <w:b/>
        </w:rPr>
        <w:t>:</w:t>
      </w:r>
      <w:r>
        <w:t xml:space="preserve"> Veronique Marcel, </w:t>
      </w:r>
      <w:r w:rsidRPr="00B13A1D">
        <w:t>Stephane</w:t>
      </w:r>
      <w:r>
        <w:t xml:space="preserve"> </w:t>
      </w:r>
      <w:proofErr w:type="spellStart"/>
      <w:r>
        <w:t>Chaumeil</w:t>
      </w:r>
      <w:proofErr w:type="spellEnd"/>
      <w:r>
        <w:t xml:space="preserve"> and Malik </w:t>
      </w:r>
      <w:proofErr w:type="spellStart"/>
      <w:r>
        <w:t>Boutaba</w:t>
      </w:r>
      <w:proofErr w:type="spellEnd"/>
      <w:r>
        <w:t xml:space="preserve"> have been busy translating the new checklists</w:t>
      </w:r>
      <w:r w:rsidR="00B7777A">
        <w:t xml:space="preserve"> into French and some of them are already approved and posted on </w:t>
      </w:r>
      <w:proofErr w:type="spellStart"/>
      <w:r w:rsidR="00B7777A">
        <w:t>eAuditNet</w:t>
      </w:r>
      <w:proofErr w:type="spellEnd"/>
      <w:r w:rsidR="00B7777A">
        <w:t xml:space="preserve">. </w:t>
      </w:r>
      <w:r w:rsidR="00195044">
        <w:t xml:space="preserve"> </w:t>
      </w:r>
      <w:proofErr w:type="spellStart"/>
      <w:r w:rsidR="00B7777A">
        <w:t>Comac</w:t>
      </w:r>
      <w:proofErr w:type="spellEnd"/>
      <w:r w:rsidR="00B7777A">
        <w:t xml:space="preserve"> have also been translating the checklists into Chinese but require a second subscriber to approve them.</w:t>
      </w:r>
    </w:p>
    <w:p w14:paraId="146E3C25" w14:textId="1C9C30F2" w:rsidR="00195044" w:rsidRPr="00195044" w:rsidRDefault="00B7777A" w:rsidP="00285C58">
      <w:pPr>
        <w:pStyle w:val="ActionItem"/>
      </w:pPr>
      <w:r>
        <w:t>ACTION ITEM: Stephen Judge to see if Bombardier have resource to approve the Chinese revisions of the checklists. (Due Date: 20-Oct-2016)</w:t>
      </w:r>
    </w:p>
    <w:p w14:paraId="7286D743" w14:textId="77777777" w:rsidR="000432DF" w:rsidRDefault="000432DF" w:rsidP="000432DF">
      <w:pPr>
        <w:pStyle w:val="Heading1"/>
      </w:pPr>
      <w:r w:rsidRPr="0044295A">
        <w:t>NMC SUMMary Report</w:t>
      </w:r>
    </w:p>
    <w:p w14:paraId="504E7968" w14:textId="2EB304DE" w:rsidR="00F82EDB" w:rsidRDefault="00F82EDB" w:rsidP="00E713A8">
      <w:pPr>
        <w:pStyle w:val="Body"/>
      </w:pPr>
      <w:r w:rsidRPr="00B7777A">
        <w:t>Task</w:t>
      </w:r>
      <w:r>
        <w:t xml:space="preserve"> Group formulated </w:t>
      </w:r>
      <w:r w:rsidR="00B7777A">
        <w:t xml:space="preserve">the </w:t>
      </w:r>
      <w:r>
        <w:t xml:space="preserve">NMC presentation outlining major decisions </w:t>
      </w:r>
      <w:r w:rsidR="00B7777A">
        <w:t xml:space="preserve">made </w:t>
      </w:r>
      <w:r>
        <w:t>and activities during the meeting.</w:t>
      </w:r>
    </w:p>
    <w:p w14:paraId="7286D745" w14:textId="196DA2DA" w:rsidR="000432DF" w:rsidRPr="00285C58" w:rsidRDefault="001331C3" w:rsidP="000432DF">
      <w:pPr>
        <w:pStyle w:val="Heading1"/>
      </w:pPr>
      <w:r w:rsidRPr="00285C58">
        <w:t>R</w:t>
      </w:r>
      <w:r w:rsidR="000432DF" w:rsidRPr="00285C58">
        <w:t>eport Outs – OPEN</w:t>
      </w:r>
    </w:p>
    <w:p w14:paraId="7286D746" w14:textId="7EB383A9" w:rsidR="000432DF" w:rsidRDefault="000432DF" w:rsidP="000432DF">
      <w:pPr>
        <w:ind w:left="720"/>
      </w:pPr>
      <w:r w:rsidRPr="00490442">
        <w:rPr>
          <w:b/>
        </w:rPr>
        <w:t>Nadcap Management Council</w:t>
      </w:r>
      <w:r w:rsidRPr="009610A4">
        <w:rPr>
          <w:b/>
        </w:rPr>
        <w:t xml:space="preserve"> (NMC):</w:t>
      </w:r>
      <w:r w:rsidRPr="009610A4">
        <w:t xml:space="preserve"> </w:t>
      </w:r>
      <w:r>
        <w:t>Jim Cummings</w:t>
      </w:r>
      <w:r w:rsidRPr="009610A4">
        <w:t xml:space="preserve"> gave a report out from the NMC meeting.</w:t>
      </w:r>
      <w:r w:rsidR="00A4053E">
        <w:t xml:space="preserve"> </w:t>
      </w:r>
    </w:p>
    <w:p w14:paraId="47CEEF64" w14:textId="5187961A" w:rsidR="00A4053E" w:rsidRDefault="00A4053E" w:rsidP="000432DF">
      <w:pPr>
        <w:ind w:left="720"/>
      </w:pPr>
      <w:r w:rsidRPr="0089477E">
        <w:rPr>
          <w:i/>
        </w:rPr>
        <w:lastRenderedPageBreak/>
        <w:t>Audit Effectiveness Team:</w:t>
      </w:r>
      <w:r>
        <w:t xml:space="preserve">  </w:t>
      </w:r>
      <w:r w:rsidR="001B008C">
        <w:t>D</w:t>
      </w:r>
      <w:r>
        <w:t xml:space="preserve">eveloping requirements for all task groups to have suppliers provide a </w:t>
      </w:r>
      <w:r w:rsidR="0052693D">
        <w:t>self-audit</w:t>
      </w:r>
      <w:r>
        <w:t xml:space="preserve"> to auditor 30 days prior to audit start.   Eventually will implement into </w:t>
      </w:r>
      <w:proofErr w:type="spellStart"/>
      <w:r>
        <w:t>e</w:t>
      </w:r>
      <w:r w:rsidR="0052693D">
        <w:t>A</w:t>
      </w:r>
      <w:r>
        <w:t>udit</w:t>
      </w:r>
      <w:r w:rsidR="0052693D">
        <w:t>N</w:t>
      </w:r>
      <w:r>
        <w:t>et</w:t>
      </w:r>
      <w:proofErr w:type="spellEnd"/>
      <w:r>
        <w:t>.</w:t>
      </w:r>
    </w:p>
    <w:p w14:paraId="6A580094" w14:textId="2FAF9F2B" w:rsidR="00A4053E" w:rsidRDefault="00A4053E" w:rsidP="000432DF">
      <w:pPr>
        <w:ind w:left="720"/>
      </w:pPr>
      <w:r w:rsidRPr="0089477E">
        <w:rPr>
          <w:i/>
        </w:rPr>
        <w:t>Standardization Team:</w:t>
      </w:r>
      <w:r>
        <w:t xml:space="preserve">  New risk mitigation estimated implementation date is December 2016.   Risk mitigation process will be worked by staff engineer and the supplier will have an added cost for risk mitigation.   Discussed the status of supplier merit upon an NCR labeled as an escape or product impact.   This varies from task group to task group.   Team formed to investigate and determine if this should stay at task group level.</w:t>
      </w:r>
    </w:p>
    <w:p w14:paraId="7F79FCB3" w14:textId="51733D1E" w:rsidR="00A4053E" w:rsidRDefault="00A4053E" w:rsidP="000432DF">
      <w:pPr>
        <w:ind w:left="720"/>
      </w:pPr>
      <w:r w:rsidRPr="0089477E">
        <w:rPr>
          <w:i/>
        </w:rPr>
        <w:t>Steering</w:t>
      </w:r>
      <w:r w:rsidR="0089477E" w:rsidRPr="0089477E">
        <w:rPr>
          <w:i/>
        </w:rPr>
        <w:t>:</w:t>
      </w:r>
      <w:r w:rsidR="0089477E">
        <w:t xml:space="preserve">  Reviewed reducing meeting to 2 times a year, currently the majority says it is not a good idea and may result in a loss of participation.</w:t>
      </w:r>
    </w:p>
    <w:p w14:paraId="7FDFEE43" w14:textId="0BC06B7B" w:rsidR="00494BC3" w:rsidRDefault="000432DF" w:rsidP="0017266D">
      <w:pPr>
        <w:ind w:left="720"/>
        <w:rPr>
          <w:b/>
        </w:rPr>
      </w:pPr>
      <w:r w:rsidRPr="00490442">
        <w:rPr>
          <w:b/>
        </w:rPr>
        <w:t>Supplier Support Committee</w:t>
      </w:r>
      <w:r w:rsidRPr="009610A4">
        <w:rPr>
          <w:b/>
        </w:rPr>
        <w:t xml:space="preserve"> (SSC): </w:t>
      </w:r>
      <w:r w:rsidR="002B454D">
        <w:t>Tammi Shubert</w:t>
      </w:r>
      <w:r>
        <w:t xml:space="preserve"> </w:t>
      </w:r>
      <w:r w:rsidRPr="009610A4">
        <w:t>gave a report out from the Supplier Support Committee</w:t>
      </w:r>
      <w:r>
        <w:t xml:space="preserve"> (SSC)</w:t>
      </w:r>
      <w:r w:rsidRPr="009610A4">
        <w:t xml:space="preserve"> meeting.</w:t>
      </w:r>
      <w:r w:rsidR="0089477E">
        <w:t xml:space="preserve">  OP1123 is a new operating procedure defining the SSC.    Reorganization of meeting times to move most meeting to Mondays during most Task Groups Closed meeting sessions.</w:t>
      </w:r>
    </w:p>
    <w:p w14:paraId="49A154C8" w14:textId="4A7B8667" w:rsidR="0017266D" w:rsidRDefault="000432DF" w:rsidP="0017266D">
      <w:pPr>
        <w:ind w:left="720"/>
      </w:pPr>
      <w:r>
        <w:rPr>
          <w:b/>
        </w:rPr>
        <w:t>A</w:t>
      </w:r>
      <w:r w:rsidRPr="00490442">
        <w:rPr>
          <w:b/>
        </w:rPr>
        <w:t>erospace Quality System</w:t>
      </w:r>
      <w:r w:rsidRPr="009610A4">
        <w:rPr>
          <w:b/>
        </w:rPr>
        <w:t xml:space="preserve"> (AQS): </w:t>
      </w:r>
      <w:r>
        <w:t>Mike Coleman</w:t>
      </w:r>
      <w:r w:rsidRPr="009610A4">
        <w:t xml:space="preserve"> gave a report out regarding his role as the AQS representative.</w:t>
      </w:r>
    </w:p>
    <w:p w14:paraId="0F3CBD91" w14:textId="6E07CB90" w:rsidR="00494BC3" w:rsidRPr="00494BC3" w:rsidRDefault="00285C58" w:rsidP="0017266D">
      <w:pPr>
        <w:ind w:left="720"/>
      </w:pPr>
      <w:r>
        <w:t>AC7108 Rev H has been reviewed for “compliance to” and “existence of” quality system elements, all the slash sheets are still to be reviewed</w:t>
      </w:r>
      <w:r w:rsidR="00494BC3">
        <w:t xml:space="preserve">.  </w:t>
      </w:r>
    </w:p>
    <w:p w14:paraId="520B1BA6" w14:textId="5A0AF16D" w:rsidR="0017266D" w:rsidRPr="00F17145" w:rsidRDefault="00B01D5E" w:rsidP="00B01D5E">
      <w:pPr>
        <w:pStyle w:val="ActionItem"/>
      </w:pPr>
      <w:r>
        <w:t xml:space="preserve">ACTION ITEM: </w:t>
      </w:r>
      <w:r w:rsidR="00285C58">
        <w:t xml:space="preserve">A sub-team </w:t>
      </w:r>
      <w:proofErr w:type="gramStart"/>
      <w:r w:rsidR="00285C58">
        <w:t xml:space="preserve">of </w:t>
      </w:r>
      <w:r w:rsidR="0017266D" w:rsidRPr="00F17145">
        <w:t xml:space="preserve"> Mike</w:t>
      </w:r>
      <w:proofErr w:type="gramEnd"/>
      <w:r w:rsidR="0017266D" w:rsidRPr="00F17145">
        <w:t xml:space="preserve"> Coleman (lead), Karyn Deming, Zia Usmani, Michael Vosatka, Dennis Reidy, Susan Lewis, Angelina Mendo</w:t>
      </w:r>
      <w:r w:rsidR="0089477E" w:rsidRPr="00F17145">
        <w:t>za</w:t>
      </w:r>
      <w:r w:rsidR="00494BC3" w:rsidRPr="00F17145">
        <w:t xml:space="preserve">, Bill </w:t>
      </w:r>
      <w:proofErr w:type="spellStart"/>
      <w:r w:rsidR="00494BC3" w:rsidRPr="00F17145">
        <w:t>Heeter</w:t>
      </w:r>
      <w:proofErr w:type="spellEnd"/>
      <w:r w:rsidR="00285C58">
        <w:t xml:space="preserve"> and </w:t>
      </w:r>
      <w:r w:rsidR="001D0C5A">
        <w:t>Christine Nesbitt</w:t>
      </w:r>
      <w:r>
        <w:t xml:space="preserve"> to review all chemical process slash sheets for “compliance to” and “existence of” quality system elements. (Due Date: 20-Oct-2016)</w:t>
      </w:r>
    </w:p>
    <w:p w14:paraId="7286D749" w14:textId="4A7653DB" w:rsidR="000432DF" w:rsidRDefault="000432DF" w:rsidP="000432DF">
      <w:pPr>
        <w:ind w:left="720"/>
      </w:pPr>
      <w:r w:rsidRPr="009610A4">
        <w:rPr>
          <w:b/>
        </w:rPr>
        <w:t>Closed</w:t>
      </w:r>
      <w:r>
        <w:rPr>
          <w:b/>
        </w:rPr>
        <w:t xml:space="preserve"> Meeting</w:t>
      </w:r>
      <w:r w:rsidRPr="009610A4">
        <w:rPr>
          <w:b/>
        </w:rPr>
        <w:t>:</w:t>
      </w:r>
      <w:r w:rsidRPr="009610A4">
        <w:t xml:space="preserve"> </w:t>
      </w:r>
      <w:r>
        <w:t xml:space="preserve">Mike </w:t>
      </w:r>
      <w:r w:rsidR="00712B5F">
        <w:t>Coleman</w:t>
      </w:r>
      <w:r w:rsidRPr="009610A4">
        <w:t xml:space="preserve"> gave a report out on </w:t>
      </w:r>
      <w:r>
        <w:t xml:space="preserve">items in the closed meeting that are subject to the open </w:t>
      </w:r>
      <w:r w:rsidRPr="009610A4">
        <w:t>meeting.</w:t>
      </w:r>
    </w:p>
    <w:p w14:paraId="7286D74A" w14:textId="6C0113D9" w:rsidR="000432DF" w:rsidRDefault="000432DF" w:rsidP="000432DF">
      <w:pPr>
        <w:ind w:left="720"/>
      </w:pPr>
      <w:r w:rsidRPr="004F5659">
        <w:rPr>
          <w:b/>
        </w:rPr>
        <w:t>Chemical Processing</w:t>
      </w:r>
      <w:r w:rsidRPr="00676741">
        <w:rPr>
          <w:b/>
        </w:rPr>
        <w:t xml:space="preserve"> - Supplier Action Team</w:t>
      </w:r>
      <w:r w:rsidRPr="009610A4">
        <w:rPr>
          <w:b/>
        </w:rPr>
        <w:t xml:space="preserve"> (CP-SAT):</w:t>
      </w:r>
      <w:r w:rsidRPr="009610A4">
        <w:t xml:space="preserve"> </w:t>
      </w:r>
      <w:r>
        <w:t xml:space="preserve">Mike </w:t>
      </w:r>
      <w:proofErr w:type="spellStart"/>
      <w:r>
        <w:t>Noettl</w:t>
      </w:r>
      <w:proofErr w:type="spellEnd"/>
      <w:r w:rsidRPr="009610A4">
        <w:t xml:space="preserve"> gave a report out from </w:t>
      </w:r>
      <w:r>
        <w:t>t</w:t>
      </w:r>
      <w:r w:rsidRPr="009610A4">
        <w:t>he CP-SAT meeting.</w:t>
      </w:r>
    </w:p>
    <w:p w14:paraId="5098BE75" w14:textId="77777777" w:rsidR="002B454D" w:rsidRDefault="002B454D" w:rsidP="002B454D">
      <w:pPr>
        <w:pStyle w:val="Body"/>
      </w:pPr>
      <w:r>
        <w:rPr>
          <w:b/>
          <w:bCs/>
        </w:rPr>
        <w:t>ASTM D4060:</w:t>
      </w:r>
      <w:r>
        <w:t xml:space="preserve"> Dave </w:t>
      </w:r>
      <w:proofErr w:type="spellStart"/>
      <w:r>
        <w:t>Serbousek</w:t>
      </w:r>
      <w:proofErr w:type="spellEnd"/>
      <w:r>
        <w:t xml:space="preserve"> has been working with a representative from Taber and drafted an alternative to ASTM D4060 for hard coatings. Consider inviting him to the October TG meeting so he can get first hand understanding of the importance of this to the CP Task Group.</w:t>
      </w:r>
    </w:p>
    <w:p w14:paraId="2EC9CAF3" w14:textId="77777777" w:rsidR="00FC33B4" w:rsidRDefault="002B454D" w:rsidP="002B454D">
      <w:pPr>
        <w:pStyle w:val="Body"/>
      </w:pPr>
      <w:r>
        <w:rPr>
          <w:b/>
          <w:bCs/>
        </w:rPr>
        <w:t xml:space="preserve">Paint Adhesion Problems: </w:t>
      </w:r>
      <w:r>
        <w:t>Suppliers are seeing adhesion failures on water based primers on 7050 materials. The problem has been seen w</w:t>
      </w:r>
      <w:r w:rsidR="0052693D">
        <w:t>i</w:t>
      </w:r>
      <w:r>
        <w:t xml:space="preserve">th CAA (sealed/unsealed), conversion coatings, and possibly TSA and the failure tends to occur several months after application. At the Oct 2015 meeting people were requested to forward information to Mike </w:t>
      </w:r>
      <w:proofErr w:type="spellStart"/>
      <w:r>
        <w:t>Noettl</w:t>
      </w:r>
      <w:proofErr w:type="spellEnd"/>
      <w:r>
        <w:t xml:space="preserve">. No reports </w:t>
      </w:r>
      <w:r w:rsidR="00D13C38">
        <w:t>have been received.</w:t>
      </w:r>
      <w:r w:rsidR="00B01D5E">
        <w:t xml:space="preserve"> </w:t>
      </w:r>
    </w:p>
    <w:p w14:paraId="0ECF7D07" w14:textId="0153FF4A" w:rsidR="002B454D" w:rsidRPr="00B01D5E" w:rsidRDefault="00D13C38" w:rsidP="002B454D">
      <w:pPr>
        <w:pStyle w:val="Body"/>
      </w:pPr>
      <w:r w:rsidRPr="00B01D5E">
        <w:t>Motion made by Zia Usmani seconded by Hal Abel</w:t>
      </w:r>
      <w:r w:rsidR="00B01D5E" w:rsidRPr="00B01D5E">
        <w:t xml:space="preserve"> </w:t>
      </w:r>
      <w:r w:rsidRPr="00B01D5E">
        <w:t>to keep this item open.</w:t>
      </w:r>
      <w:r w:rsidR="00B01D5E" w:rsidRPr="00B01D5E">
        <w:t xml:space="preserve"> </w:t>
      </w:r>
      <w:r w:rsidR="00FC33B4">
        <w:t xml:space="preserve">Motion passed. </w:t>
      </w:r>
    </w:p>
    <w:p w14:paraId="48FC25F2" w14:textId="1D519F5C" w:rsidR="002B454D" w:rsidRDefault="002B454D" w:rsidP="002B454D">
      <w:pPr>
        <w:pStyle w:val="Body"/>
      </w:pPr>
      <w:r>
        <w:rPr>
          <w:b/>
          <w:bCs/>
        </w:rPr>
        <w:t xml:space="preserve">Visual Acceptance Requirements: </w:t>
      </w:r>
      <w:r>
        <w:t xml:space="preserve">Mike </w:t>
      </w:r>
      <w:proofErr w:type="spellStart"/>
      <w:r>
        <w:t>Noettl</w:t>
      </w:r>
      <w:proofErr w:type="spellEnd"/>
      <w:r>
        <w:t xml:space="preserve"> reviewed the presentation from the previous meeting on </w:t>
      </w:r>
      <w:r w:rsidR="001B008C">
        <w:t>U</w:t>
      </w:r>
      <w:r>
        <w:t xml:space="preserve">nacceptable </w:t>
      </w:r>
      <w:r w:rsidR="001B008C">
        <w:t>V</w:t>
      </w:r>
      <w:r>
        <w:t xml:space="preserve">isual </w:t>
      </w:r>
      <w:r w:rsidR="001B008C">
        <w:t>C</w:t>
      </w:r>
      <w:r>
        <w:t xml:space="preserve">onditions (UVC). These are “undefined” items that can lead to the parts being rejected by the customer. These are not part of the process specification but a statement in the general purchasing requirements of the customer. The problem is that they are “undefined” so the processor does not know what they need to achieve. The CP-SAT would like to request the CPTG support PRI sending an email to CP Suppliers asking that they provide Mike </w:t>
      </w:r>
      <w:proofErr w:type="spellStart"/>
      <w:r>
        <w:t>Noettl</w:t>
      </w:r>
      <w:proofErr w:type="spellEnd"/>
      <w:r>
        <w:t xml:space="preserve"> with photographs of finished parts so that the effect of material condition (welded, drawn, polished, etc.) on appearance can be documented and used for training.</w:t>
      </w:r>
    </w:p>
    <w:p w14:paraId="0C489BCB" w14:textId="1479FA87" w:rsidR="002B454D" w:rsidRDefault="002B454D" w:rsidP="002B454D">
      <w:pPr>
        <w:pStyle w:val="Body"/>
      </w:pPr>
      <w:r>
        <w:rPr>
          <w:b/>
          <w:bCs/>
        </w:rPr>
        <w:t xml:space="preserve">Redundant Audits and Self-Assessment </w:t>
      </w:r>
      <w:r w:rsidR="0052693D">
        <w:rPr>
          <w:b/>
          <w:bCs/>
        </w:rPr>
        <w:t>Questionnaires:</w:t>
      </w:r>
      <w:r>
        <w:t xml:space="preserve"> Some suppliers are starting to have 3rd party companies coming in to do special process audits, or sending self-assessment questionnaires, on behalf of Subscribers. Direct customers are also being increasing their audits of process houses.</w:t>
      </w:r>
    </w:p>
    <w:p w14:paraId="588D7D48" w14:textId="694394A9" w:rsidR="002B454D" w:rsidRDefault="002B454D" w:rsidP="002B454D">
      <w:pPr>
        <w:pStyle w:val="Body"/>
      </w:pPr>
      <w:r>
        <w:rPr>
          <w:b/>
          <w:bCs/>
        </w:rPr>
        <w:lastRenderedPageBreak/>
        <w:t>Shop Layout:</w:t>
      </w:r>
      <w:r>
        <w:t xml:space="preserve"> It was reported that Auditors have been asking for shop layout drawings identifying every tank and greying out areas that are not part of the CP audit. Nigel clarified that the revision controlled drawing to be attached to the AC7108 audit is only required to identify the areas that are subject to the CP audit. CP-SAT request that this be clarified at the October conference.</w:t>
      </w:r>
    </w:p>
    <w:p w14:paraId="7286D74B" w14:textId="62DC1C54" w:rsidR="000432DF" w:rsidRDefault="00B01D5E" w:rsidP="0068119E">
      <w:pPr>
        <w:pStyle w:val="ActionItem"/>
      </w:pPr>
      <w:r>
        <w:t>ACTION ITEM: Nigel Cook</w:t>
      </w:r>
      <w:r w:rsidR="0089477E">
        <w:t xml:space="preserve"> to clarify </w:t>
      </w:r>
      <w:r>
        <w:t xml:space="preserve">the requirements for the shop layout </w:t>
      </w:r>
      <w:r w:rsidR="0089477E">
        <w:t>with auditors at the auditor conference</w:t>
      </w:r>
      <w:r>
        <w:t>. (Due Date: 20-Oct-2016)</w:t>
      </w:r>
    </w:p>
    <w:p w14:paraId="2255B67B" w14:textId="2A49E28A" w:rsidR="00B01D5E" w:rsidRDefault="00491B79" w:rsidP="00491B79">
      <w:pPr>
        <w:pStyle w:val="Heading1"/>
      </w:pPr>
      <w:r w:rsidRPr="00491B79">
        <w:t xml:space="preserve">Registration, Evaluation, Authorisation and Restriction of Chemicals </w:t>
      </w:r>
      <w:r>
        <w:t>(</w:t>
      </w:r>
      <w:r w:rsidR="00B01D5E">
        <w:t>REACH</w:t>
      </w:r>
      <w:r>
        <w:t>)</w:t>
      </w:r>
    </w:p>
    <w:p w14:paraId="39C7A680" w14:textId="5753BEF5" w:rsidR="00B01D5E" w:rsidRPr="0068119E" w:rsidRDefault="00B01D5E" w:rsidP="0068119E">
      <w:pPr>
        <w:pStyle w:val="Body"/>
      </w:pPr>
      <w:r>
        <w:t xml:space="preserve">Paul </w:t>
      </w:r>
      <w:proofErr w:type="spellStart"/>
      <w:r>
        <w:t>Hogben</w:t>
      </w:r>
      <w:proofErr w:type="spellEnd"/>
      <w:r>
        <w:t xml:space="preserve"> from The Boeing Company gave an update on the REACH regulations and the need for suppliers in Europe to be part of an “authorization” if they are using substances that are being restricted.</w:t>
      </w:r>
    </w:p>
    <w:p w14:paraId="203A3398" w14:textId="5954307E" w:rsidR="00831064" w:rsidRDefault="00831064" w:rsidP="00831064">
      <w:pPr>
        <w:pStyle w:val="Heading1"/>
      </w:pPr>
      <w:r w:rsidRPr="009610A4">
        <w:t xml:space="preserve">meeting feedback and develop the </w:t>
      </w:r>
      <w:r w:rsidRPr="00A825E8">
        <w:t>agenda</w:t>
      </w:r>
      <w:r w:rsidRPr="009610A4">
        <w:t xml:space="preserve"> for the next task group meeting</w:t>
      </w:r>
    </w:p>
    <w:p w14:paraId="7286D767" w14:textId="2AC8182D" w:rsidR="001D02DF" w:rsidRDefault="001D02DF" w:rsidP="00C34B50">
      <w:pPr>
        <w:pStyle w:val="Body"/>
      </w:pPr>
    </w:p>
    <w:p w14:paraId="7286D768" w14:textId="77777777" w:rsidR="009610A4" w:rsidRPr="009610A4" w:rsidRDefault="009610A4" w:rsidP="009610A4">
      <w:r w:rsidRPr="009610A4">
        <w:t xml:space="preserve">ADJOURNMENT – </w:t>
      </w:r>
      <w:r w:rsidR="00375BBC">
        <w:t>25</w:t>
      </w:r>
      <w:r w:rsidRPr="009610A4">
        <w:t>-</w:t>
      </w:r>
      <w:r w:rsidR="00375BBC">
        <w:t>Feb</w:t>
      </w:r>
      <w:r w:rsidRPr="009610A4">
        <w:t>-201</w:t>
      </w:r>
      <w:r w:rsidR="00375BBC">
        <w:t>6</w:t>
      </w:r>
      <w:r w:rsidRPr="009610A4">
        <w:t xml:space="preserve"> – Meeting was adjourned at </w:t>
      </w:r>
      <w:r w:rsidR="00BC0DE5">
        <w:t>3:30 pm</w:t>
      </w:r>
      <w:r w:rsidRPr="009610A4">
        <w:t>.</w:t>
      </w:r>
    </w:p>
    <w:p w14:paraId="7286D769" w14:textId="77777777" w:rsidR="009610A4" w:rsidRPr="009610A4" w:rsidRDefault="009610A4" w:rsidP="009610A4">
      <w:pPr>
        <w:spacing w:after="0"/>
        <w:ind w:left="720"/>
      </w:pPr>
      <w:r w:rsidRPr="009610A4">
        <w:t xml:space="preserve">Minutes Prepared by: </w:t>
      </w:r>
      <w:r w:rsidRPr="009610A4">
        <w:tab/>
      </w:r>
    </w:p>
    <w:p w14:paraId="7286D76A" w14:textId="77777777" w:rsidR="00375BBC" w:rsidRDefault="009610A4" w:rsidP="009610A4">
      <w:pPr>
        <w:spacing w:after="0"/>
        <w:ind w:left="720"/>
        <w:rPr>
          <w:rStyle w:val="Hyperlink"/>
        </w:rPr>
      </w:pPr>
      <w:r w:rsidRPr="009610A4">
        <w:tab/>
      </w:r>
      <w:r w:rsidRPr="009610A4">
        <w:tab/>
      </w:r>
      <w:r w:rsidRPr="009610A4">
        <w:tab/>
      </w:r>
      <w:r w:rsidR="00375BBC">
        <w:t>Ethan Akins</w:t>
      </w:r>
      <w:r w:rsidR="00375BBC">
        <w:tab/>
      </w:r>
      <w:r w:rsidR="00375BBC">
        <w:tab/>
      </w:r>
      <w:hyperlink r:id="rId12" w:history="1">
        <w:r w:rsidR="00375BBC" w:rsidRPr="00CD5191">
          <w:rPr>
            <w:rStyle w:val="Hyperlink"/>
          </w:rPr>
          <w:t>eakins@p-r-i.org</w:t>
        </w:r>
      </w:hyperlink>
    </w:p>
    <w:p w14:paraId="7286D76B" w14:textId="77777777" w:rsidR="004F3163" w:rsidRDefault="004F3163" w:rsidP="009610A4">
      <w:pPr>
        <w:spacing w:after="0"/>
        <w:ind w:left="720"/>
        <w:rPr>
          <w:rStyle w:val="Hyperlink"/>
        </w:rPr>
      </w:pPr>
      <w:r w:rsidRPr="00764144">
        <w:rPr>
          <w:rStyle w:val="Hyperlink"/>
          <w:u w:val="none"/>
        </w:rPr>
        <w:tab/>
      </w:r>
      <w:r w:rsidRPr="00764144">
        <w:rPr>
          <w:rStyle w:val="Hyperlink"/>
          <w:u w:val="none"/>
        </w:rPr>
        <w:tab/>
      </w:r>
      <w:r w:rsidRPr="00764144">
        <w:rPr>
          <w:rStyle w:val="Hyperlink"/>
          <w:u w:val="none"/>
        </w:rPr>
        <w:tab/>
      </w:r>
      <w:r w:rsidRPr="00764144">
        <w:rPr>
          <w:rStyle w:val="Hyperlink"/>
          <w:color w:val="auto"/>
          <w:u w:val="none"/>
        </w:rPr>
        <w:t>Joyce Benkart</w:t>
      </w:r>
      <w:r w:rsidRPr="00764144">
        <w:rPr>
          <w:rStyle w:val="Hyperlink"/>
          <w:color w:val="auto"/>
          <w:u w:val="none"/>
        </w:rPr>
        <w:tab/>
      </w:r>
      <w:r w:rsidRPr="00764144">
        <w:rPr>
          <w:rStyle w:val="Hyperlink"/>
          <w:u w:val="none"/>
        </w:rPr>
        <w:tab/>
      </w:r>
      <w:r>
        <w:rPr>
          <w:rStyle w:val="Hyperlink"/>
        </w:rPr>
        <w:t>jbenkart@p-r-i.org</w:t>
      </w:r>
    </w:p>
    <w:p w14:paraId="7286D76C" w14:textId="77777777" w:rsidR="004F3163" w:rsidRDefault="004F3163" w:rsidP="009610A4">
      <w:pPr>
        <w:spacing w:after="0"/>
        <w:ind w:left="720"/>
      </w:pPr>
      <w:r>
        <w:tab/>
      </w:r>
      <w:r>
        <w:tab/>
      </w:r>
      <w:r>
        <w:tab/>
      </w:r>
      <w:r w:rsidRPr="009610A4">
        <w:t xml:space="preserve">Nigel Cook </w:t>
      </w:r>
      <w:r>
        <w:tab/>
      </w:r>
      <w:r w:rsidRPr="009610A4">
        <w:tab/>
      </w:r>
      <w:hyperlink r:id="rId13" w:history="1">
        <w:r w:rsidRPr="009610A4">
          <w:rPr>
            <w:color w:val="0000FF" w:themeColor="hyperlink"/>
            <w:u w:val="single"/>
          </w:rPr>
          <w:t>ncook@p-r-i.org</w:t>
        </w:r>
      </w:hyperlink>
    </w:p>
    <w:p w14:paraId="7286D76D" w14:textId="77777777" w:rsidR="00375BBC" w:rsidRDefault="00375BBC" w:rsidP="009610A4">
      <w:pPr>
        <w:spacing w:after="0"/>
        <w:ind w:left="720"/>
      </w:pPr>
      <w:r>
        <w:tab/>
      </w:r>
      <w:r>
        <w:tab/>
      </w:r>
      <w:r>
        <w:tab/>
        <w:t>Christine Nesbitt</w:t>
      </w:r>
      <w:r>
        <w:tab/>
      </w:r>
      <w:hyperlink r:id="rId14" w:history="1">
        <w:r w:rsidRPr="00CD5191">
          <w:rPr>
            <w:rStyle w:val="Hyperlink"/>
          </w:rPr>
          <w:t>cnesbitt@p-r-i.org</w:t>
        </w:r>
      </w:hyperlink>
      <w:r>
        <w:t xml:space="preserve"> </w:t>
      </w:r>
    </w:p>
    <w:p w14:paraId="7286D76E" w14:textId="77777777" w:rsidR="00CD5422" w:rsidRDefault="00CD5422" w:rsidP="009610A4">
      <w:pPr>
        <w:spacing w:after="0"/>
        <w:ind w:left="720"/>
      </w:pPr>
    </w:p>
    <w:tbl>
      <w:tblPr>
        <w:tblStyle w:val="TableGrid"/>
        <w:tblW w:w="0" w:type="auto"/>
        <w:shd w:val="clear" w:color="auto" w:fill="F2F2F2" w:themeFill="background1" w:themeFillShade="F2"/>
        <w:tblLook w:val="04A0" w:firstRow="1" w:lastRow="0" w:firstColumn="1" w:lastColumn="0" w:noHBand="0" w:noVBand="1"/>
      </w:tblPr>
      <w:tblGrid>
        <w:gridCol w:w="3121"/>
        <w:gridCol w:w="3125"/>
        <w:gridCol w:w="3104"/>
      </w:tblGrid>
      <w:tr w:rsidR="009610A4" w:rsidRPr="009610A4" w14:paraId="7286D777" w14:textId="77777777" w:rsidTr="00CD5422">
        <w:tc>
          <w:tcPr>
            <w:tcW w:w="9350" w:type="dxa"/>
            <w:gridSpan w:val="3"/>
            <w:shd w:val="clear" w:color="auto" w:fill="F2F2F2" w:themeFill="background1" w:themeFillShade="F2"/>
          </w:tcPr>
          <w:p w14:paraId="7286D76F" w14:textId="77777777" w:rsidR="009610A4" w:rsidRPr="009610A4" w:rsidRDefault="009610A4" w:rsidP="009610A4"/>
          <w:p w14:paraId="7286D770" w14:textId="77777777" w:rsidR="009610A4" w:rsidRPr="009610A4" w:rsidRDefault="009610A4" w:rsidP="009610A4">
            <w:pPr>
              <w:jc w:val="center"/>
            </w:pPr>
            <w:r w:rsidRPr="009610A4">
              <w:t>***** For PRI Staff use only: ******</w:t>
            </w:r>
          </w:p>
          <w:p w14:paraId="7286D771" w14:textId="77777777" w:rsidR="009610A4" w:rsidRPr="009610A4" w:rsidRDefault="009610A4" w:rsidP="009610A4"/>
          <w:p w14:paraId="7286D772" w14:textId="77777777" w:rsidR="009610A4" w:rsidRPr="009610A4" w:rsidRDefault="009610A4" w:rsidP="009610A4">
            <w:r w:rsidRPr="009610A4">
              <w:t>Are procedural/form changes required based on changes/actions approved during this meeting? (select one)</w:t>
            </w:r>
          </w:p>
          <w:p w14:paraId="7286D773" w14:textId="77777777" w:rsidR="009610A4" w:rsidRPr="009610A4" w:rsidRDefault="009610A4" w:rsidP="009610A4"/>
          <w:p w14:paraId="7286D774" w14:textId="77777777" w:rsidR="009610A4" w:rsidRPr="009610A4" w:rsidRDefault="009610A4" w:rsidP="009610A4">
            <w:pPr>
              <w:jc w:val="center"/>
            </w:pPr>
            <w:r w:rsidRPr="009610A4">
              <w:t xml:space="preserve">YES*  </w:t>
            </w:r>
            <w:sdt>
              <w:sdtPr>
                <w:id w:val="-1222288452"/>
                <w14:checkbox>
                  <w14:checked w14:val="1"/>
                  <w14:checkedState w14:val="2612" w14:font="MS Gothic"/>
                  <w14:uncheckedState w14:val="2610" w14:font="MS Gothic"/>
                </w14:checkbox>
              </w:sdtPr>
              <w:sdtEndPr/>
              <w:sdtContent>
                <w:r w:rsidR="00375BBC">
                  <w:rPr>
                    <w:rFonts w:ascii="MS Gothic" w:eastAsia="MS Gothic" w:hAnsi="MS Gothic" w:hint="eastAsia"/>
                  </w:rPr>
                  <w:t>☒</w:t>
                </w:r>
              </w:sdtContent>
            </w:sdt>
            <w:r w:rsidRPr="009610A4">
              <w:t xml:space="preserve">   NO  </w:t>
            </w:r>
            <w:sdt>
              <w:sdtPr>
                <w:id w:val="-1111664188"/>
                <w14:checkbox>
                  <w14:checked w14:val="0"/>
                  <w14:checkedState w14:val="2612" w14:font="MS Gothic"/>
                  <w14:uncheckedState w14:val="2610" w14:font="MS Gothic"/>
                </w14:checkbox>
              </w:sdtPr>
              <w:sdtEndPr/>
              <w:sdtContent>
                <w:r w:rsidR="00375BBC">
                  <w:rPr>
                    <w:rFonts w:ascii="MS Gothic" w:eastAsia="MS Gothic" w:hAnsi="MS Gothic" w:hint="eastAsia"/>
                  </w:rPr>
                  <w:t>☐</w:t>
                </w:r>
              </w:sdtContent>
            </w:sdt>
          </w:p>
          <w:p w14:paraId="7286D775" w14:textId="77777777" w:rsidR="009610A4" w:rsidRPr="009610A4" w:rsidRDefault="009610A4" w:rsidP="009610A4"/>
          <w:p w14:paraId="7286D776" w14:textId="77777777" w:rsidR="009610A4" w:rsidRPr="009610A4" w:rsidRDefault="009610A4" w:rsidP="009610A4">
            <w:r w:rsidRPr="009610A4">
              <w:t>*If yes, the following information is required:</w:t>
            </w:r>
          </w:p>
        </w:tc>
      </w:tr>
      <w:tr w:rsidR="009610A4" w:rsidRPr="009610A4" w14:paraId="7286D77B" w14:textId="77777777" w:rsidTr="00CD5422">
        <w:tc>
          <w:tcPr>
            <w:tcW w:w="3121" w:type="dxa"/>
            <w:shd w:val="clear" w:color="auto" w:fill="F2F2F2" w:themeFill="background1" w:themeFillShade="F2"/>
          </w:tcPr>
          <w:p w14:paraId="7286D778" w14:textId="77777777" w:rsidR="009610A4" w:rsidRPr="009610A4" w:rsidRDefault="009610A4" w:rsidP="009610A4">
            <w:pPr>
              <w:rPr>
                <w:b/>
              </w:rPr>
            </w:pPr>
            <w:r w:rsidRPr="009610A4">
              <w:rPr>
                <w:b/>
              </w:rPr>
              <w:t>Documents requiring revision:</w:t>
            </w:r>
          </w:p>
        </w:tc>
        <w:tc>
          <w:tcPr>
            <w:tcW w:w="3125" w:type="dxa"/>
            <w:shd w:val="clear" w:color="auto" w:fill="F2F2F2" w:themeFill="background1" w:themeFillShade="F2"/>
          </w:tcPr>
          <w:p w14:paraId="7286D779" w14:textId="77777777" w:rsidR="009610A4" w:rsidRPr="009610A4" w:rsidRDefault="009610A4" w:rsidP="009610A4">
            <w:pPr>
              <w:rPr>
                <w:b/>
              </w:rPr>
            </w:pPr>
            <w:r w:rsidRPr="009610A4">
              <w:rPr>
                <w:b/>
              </w:rPr>
              <w:t>Who is responsible:</w:t>
            </w:r>
          </w:p>
        </w:tc>
        <w:tc>
          <w:tcPr>
            <w:tcW w:w="3104" w:type="dxa"/>
            <w:shd w:val="clear" w:color="auto" w:fill="F2F2F2" w:themeFill="background1" w:themeFillShade="F2"/>
          </w:tcPr>
          <w:p w14:paraId="7286D77A" w14:textId="77777777" w:rsidR="009610A4" w:rsidRPr="009610A4" w:rsidRDefault="009610A4" w:rsidP="009610A4">
            <w:pPr>
              <w:rPr>
                <w:b/>
              </w:rPr>
            </w:pPr>
            <w:r w:rsidRPr="009610A4">
              <w:rPr>
                <w:b/>
              </w:rPr>
              <w:t>Due date:</w:t>
            </w:r>
          </w:p>
        </w:tc>
      </w:tr>
      <w:tr w:rsidR="009610A4" w:rsidRPr="009610A4" w14:paraId="7286D77F" w14:textId="77777777" w:rsidTr="00CD5422">
        <w:tc>
          <w:tcPr>
            <w:tcW w:w="3121" w:type="dxa"/>
            <w:shd w:val="clear" w:color="auto" w:fill="F2F2F2" w:themeFill="background1" w:themeFillShade="F2"/>
          </w:tcPr>
          <w:p w14:paraId="7286D77C" w14:textId="52ADE369" w:rsidR="009610A4" w:rsidRPr="009610A4" w:rsidRDefault="0068119E" w:rsidP="009610A4">
            <w:r>
              <w:t>OP 1114 App CP</w:t>
            </w:r>
          </w:p>
        </w:tc>
        <w:tc>
          <w:tcPr>
            <w:tcW w:w="3125" w:type="dxa"/>
            <w:shd w:val="clear" w:color="auto" w:fill="F2F2F2" w:themeFill="background1" w:themeFillShade="F2"/>
          </w:tcPr>
          <w:p w14:paraId="7286D77D" w14:textId="73FA172C" w:rsidR="009610A4" w:rsidRPr="009610A4" w:rsidRDefault="0068119E" w:rsidP="009610A4">
            <w:r>
              <w:t>Nigel Cook</w:t>
            </w:r>
          </w:p>
        </w:tc>
        <w:tc>
          <w:tcPr>
            <w:tcW w:w="3104" w:type="dxa"/>
            <w:shd w:val="clear" w:color="auto" w:fill="F2F2F2" w:themeFill="background1" w:themeFillShade="F2"/>
          </w:tcPr>
          <w:p w14:paraId="7286D77E" w14:textId="5C57DFA1" w:rsidR="009610A4" w:rsidRPr="009610A4" w:rsidRDefault="0068119E" w:rsidP="0006775F">
            <w:r>
              <w:t>31-Jul-2016</w:t>
            </w:r>
          </w:p>
        </w:tc>
      </w:tr>
      <w:tr w:rsidR="00D962E1" w:rsidRPr="009610A4" w14:paraId="7286D783" w14:textId="77777777" w:rsidTr="00CD5422">
        <w:tc>
          <w:tcPr>
            <w:tcW w:w="3121" w:type="dxa"/>
            <w:shd w:val="clear" w:color="auto" w:fill="F2F2F2" w:themeFill="background1" w:themeFillShade="F2"/>
          </w:tcPr>
          <w:p w14:paraId="7286D780" w14:textId="322B0C04" w:rsidR="00D962E1" w:rsidRPr="009610A4" w:rsidRDefault="0068119E" w:rsidP="00704A3A">
            <w:r>
              <w:t>CP Audit Handbook</w:t>
            </w:r>
          </w:p>
        </w:tc>
        <w:tc>
          <w:tcPr>
            <w:tcW w:w="3125" w:type="dxa"/>
            <w:shd w:val="clear" w:color="auto" w:fill="F2F2F2" w:themeFill="background1" w:themeFillShade="F2"/>
          </w:tcPr>
          <w:p w14:paraId="7286D781" w14:textId="3878B7D7" w:rsidR="00D962E1" w:rsidRPr="009610A4" w:rsidRDefault="0068119E" w:rsidP="00704A3A">
            <w:r>
              <w:t>Nigel Cook</w:t>
            </w:r>
          </w:p>
        </w:tc>
        <w:tc>
          <w:tcPr>
            <w:tcW w:w="3104" w:type="dxa"/>
            <w:shd w:val="clear" w:color="auto" w:fill="F2F2F2" w:themeFill="background1" w:themeFillShade="F2"/>
          </w:tcPr>
          <w:p w14:paraId="7286D782" w14:textId="05F42296" w:rsidR="00D962E1" w:rsidRPr="009610A4" w:rsidRDefault="0068119E" w:rsidP="00704A3A">
            <w:r>
              <w:t>15-July-2016</w:t>
            </w:r>
          </w:p>
        </w:tc>
      </w:tr>
      <w:tr w:rsidR="00D962E1" w:rsidRPr="009610A4" w14:paraId="7286D787" w14:textId="77777777" w:rsidTr="00CD5422">
        <w:tc>
          <w:tcPr>
            <w:tcW w:w="3121" w:type="dxa"/>
            <w:shd w:val="clear" w:color="auto" w:fill="F2F2F2" w:themeFill="background1" w:themeFillShade="F2"/>
          </w:tcPr>
          <w:p w14:paraId="7286D784" w14:textId="0A318A67" w:rsidR="00D962E1" w:rsidRPr="009610A4" w:rsidRDefault="00D962E1" w:rsidP="00704A3A"/>
        </w:tc>
        <w:tc>
          <w:tcPr>
            <w:tcW w:w="3125" w:type="dxa"/>
            <w:shd w:val="clear" w:color="auto" w:fill="F2F2F2" w:themeFill="background1" w:themeFillShade="F2"/>
          </w:tcPr>
          <w:p w14:paraId="7286D785" w14:textId="299735FC" w:rsidR="00D962E1" w:rsidRPr="009610A4" w:rsidRDefault="00D962E1" w:rsidP="00704A3A"/>
        </w:tc>
        <w:tc>
          <w:tcPr>
            <w:tcW w:w="3104" w:type="dxa"/>
            <w:shd w:val="clear" w:color="auto" w:fill="F2F2F2" w:themeFill="background1" w:themeFillShade="F2"/>
          </w:tcPr>
          <w:p w14:paraId="7286D786" w14:textId="28FED09A" w:rsidR="00D962E1" w:rsidRPr="009610A4" w:rsidRDefault="00D962E1" w:rsidP="00704A3A"/>
        </w:tc>
      </w:tr>
      <w:tr w:rsidR="009610A4" w:rsidRPr="009610A4" w14:paraId="7286D78B" w14:textId="77777777" w:rsidTr="00CD5422">
        <w:tc>
          <w:tcPr>
            <w:tcW w:w="3121" w:type="dxa"/>
            <w:shd w:val="clear" w:color="auto" w:fill="F2F2F2" w:themeFill="background1" w:themeFillShade="F2"/>
          </w:tcPr>
          <w:p w14:paraId="7286D788" w14:textId="77777777" w:rsidR="009610A4" w:rsidRPr="009610A4" w:rsidRDefault="009610A4" w:rsidP="009610A4"/>
        </w:tc>
        <w:tc>
          <w:tcPr>
            <w:tcW w:w="3125" w:type="dxa"/>
            <w:shd w:val="clear" w:color="auto" w:fill="F2F2F2" w:themeFill="background1" w:themeFillShade="F2"/>
          </w:tcPr>
          <w:p w14:paraId="7286D789" w14:textId="77777777" w:rsidR="009610A4" w:rsidRPr="009610A4" w:rsidRDefault="009610A4" w:rsidP="009610A4"/>
        </w:tc>
        <w:tc>
          <w:tcPr>
            <w:tcW w:w="3104" w:type="dxa"/>
            <w:shd w:val="clear" w:color="auto" w:fill="F2F2F2" w:themeFill="background1" w:themeFillShade="F2"/>
          </w:tcPr>
          <w:p w14:paraId="7286D78A" w14:textId="77777777" w:rsidR="009610A4" w:rsidRPr="009610A4" w:rsidRDefault="009610A4" w:rsidP="009610A4"/>
        </w:tc>
      </w:tr>
    </w:tbl>
    <w:p w14:paraId="7286D78C" w14:textId="77777777" w:rsidR="009610A4" w:rsidRPr="009610A4" w:rsidRDefault="009610A4" w:rsidP="00CD5422">
      <w:pPr>
        <w:spacing w:line="276" w:lineRule="auto"/>
      </w:pPr>
    </w:p>
    <w:sectPr w:rsidR="009610A4" w:rsidRPr="009610A4" w:rsidSect="00866C8D">
      <w:headerReference w:type="even" r:id="rId15"/>
      <w:headerReference w:type="default" r:id="rId16"/>
      <w:head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326CC" w14:textId="77777777" w:rsidR="00FC33B4" w:rsidRDefault="00FC33B4" w:rsidP="00FC3F1E">
      <w:pPr>
        <w:spacing w:after="0"/>
      </w:pPr>
      <w:r>
        <w:separator/>
      </w:r>
    </w:p>
  </w:endnote>
  <w:endnote w:type="continuationSeparator" w:id="0">
    <w:p w14:paraId="54AD46FD" w14:textId="77777777" w:rsidR="00FC33B4" w:rsidRDefault="00FC33B4"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F856" w14:textId="77777777" w:rsidR="00FC33B4" w:rsidRDefault="00FC33B4" w:rsidP="00FC3F1E">
      <w:pPr>
        <w:spacing w:after="0"/>
      </w:pPr>
      <w:r>
        <w:separator/>
      </w:r>
    </w:p>
  </w:footnote>
  <w:footnote w:type="continuationSeparator" w:id="0">
    <w:p w14:paraId="538C83B2" w14:textId="77777777" w:rsidR="00FC33B4" w:rsidRDefault="00FC33B4"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D791" w14:textId="77777777" w:rsidR="00FC33B4" w:rsidRDefault="00256074">
    <w:pPr>
      <w:pStyle w:val="Header"/>
    </w:pPr>
    <w:r>
      <w:rPr>
        <w:noProof/>
      </w:rPr>
      <w:pict w14:anchorId="7286D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584" o:spid="_x0000_s2050" type="#_x0000_t136" style="position:absolute;left:0;text-align:left;margin-left:0;margin-top:0;width:571.85pt;height:87.95pt;rotation:315;z-index:-25165516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D792" w14:textId="77777777" w:rsidR="00FC33B4" w:rsidRDefault="00FC33B4">
    <w:pPr>
      <w:pStyle w:val="Header"/>
    </w:pPr>
    <w:r>
      <w:rPr>
        <w:noProof/>
      </w:rPr>
      <w:drawing>
        <wp:anchor distT="0" distB="0" distL="114300" distR="114300" simplePos="0" relativeHeight="251665408" behindDoc="0" locked="0" layoutInCell="1" allowOverlap="1" wp14:anchorId="7286D798" wp14:editId="7286D799">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256074">
      <w:rPr>
        <w:noProof/>
      </w:rPr>
      <w:pict w14:anchorId="7286D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585" o:spid="_x0000_s2051" type="#_x0000_t136" style="position:absolute;left:0;text-align:left;margin-left:0;margin-top:0;width:571.85pt;height:87.95pt;rotation:315;z-index:-25165312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t>CHEMICAL PROCESSING</w:t>
    </w:r>
  </w:p>
  <w:p w14:paraId="7286D793" w14:textId="77777777" w:rsidR="00FC33B4" w:rsidRDefault="00FC33B4">
    <w:pPr>
      <w:pStyle w:val="Header"/>
    </w:pPr>
    <w:r>
      <w:t>JUNE 2016</w:t>
    </w:r>
  </w:p>
  <w:p w14:paraId="7286D794" w14:textId="77777777" w:rsidR="00FC33B4" w:rsidRDefault="00FC33B4">
    <w:pPr>
      <w:pStyle w:val="Header"/>
    </w:pPr>
    <w:r>
      <w:t>UNCONFIRMED</w:t>
    </w:r>
  </w:p>
  <w:p w14:paraId="7286D795" w14:textId="77777777" w:rsidR="00FC33B4" w:rsidRDefault="00FC3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D796" w14:textId="77777777" w:rsidR="00FC33B4" w:rsidRDefault="00256074">
    <w:pPr>
      <w:pStyle w:val="Header"/>
    </w:pPr>
    <w:r>
      <w:rPr>
        <w:noProof/>
      </w:rPr>
      <w:pict w14:anchorId="7286D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583" o:spid="_x0000_s2049" type="#_x0000_t136" style="position:absolute;left:0;text-align:left;margin-left:0;margin-top:0;width:571.85pt;height:87.95pt;rotation:315;z-index:-25165721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9DA"/>
    <w:multiLevelType w:val="hybridMultilevel"/>
    <w:tmpl w:val="30F8E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81578C"/>
    <w:multiLevelType w:val="hybridMultilevel"/>
    <w:tmpl w:val="C42ED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276DBD"/>
    <w:multiLevelType w:val="hybridMultilevel"/>
    <w:tmpl w:val="51C0CC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845DCE"/>
    <w:multiLevelType w:val="hybridMultilevel"/>
    <w:tmpl w:val="8FB6B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B26D0"/>
    <w:multiLevelType w:val="hybridMultilevel"/>
    <w:tmpl w:val="EF7C2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43DEF"/>
    <w:multiLevelType w:val="hybridMultilevel"/>
    <w:tmpl w:val="7082A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046476"/>
    <w:multiLevelType w:val="hybridMultilevel"/>
    <w:tmpl w:val="C6506E96"/>
    <w:lvl w:ilvl="0" w:tplc="0E52D1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9C1394"/>
    <w:multiLevelType w:val="hybridMultilevel"/>
    <w:tmpl w:val="1576C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141793"/>
    <w:multiLevelType w:val="hybridMultilevel"/>
    <w:tmpl w:val="3D846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2B35E1"/>
    <w:multiLevelType w:val="hybridMultilevel"/>
    <w:tmpl w:val="5C5EF91A"/>
    <w:lvl w:ilvl="0" w:tplc="82101538">
      <w:start w:val="1"/>
      <w:numFmt w:val="bullet"/>
      <w:lvlText w:val=""/>
      <w:lvlJc w:val="left"/>
      <w:pPr>
        <w:ind w:left="1440" w:hanging="360"/>
      </w:pPr>
      <w:rPr>
        <w:rFonts w:ascii="Symbol" w:hAnsi="Symbol" w:hint="default"/>
      </w:rPr>
    </w:lvl>
    <w:lvl w:ilvl="1" w:tplc="82101538">
      <w:start w:val="1"/>
      <w:numFmt w:val="bullet"/>
      <w:lvlText w:val=""/>
      <w:lvlJc w:val="left"/>
      <w:pPr>
        <w:ind w:left="1440" w:hanging="360"/>
      </w:pPr>
      <w:rPr>
        <w:rFonts w:ascii="Symbol" w:hAnsi="Symbol" w:hint="default"/>
      </w:rPr>
    </w:lvl>
    <w:lvl w:ilvl="2" w:tplc="0AC80E8E">
      <w:numFmt w:val="bullet"/>
      <w:lvlText w:val="•"/>
      <w:lvlJc w:val="left"/>
      <w:pPr>
        <w:ind w:left="2520" w:hanging="720"/>
      </w:pPr>
      <w:rPr>
        <w:rFonts w:ascii="Arial" w:eastAsiaTheme="minorHAnsi" w:hAnsi="Arial" w:cs="Arial" w:hint="default"/>
      </w:rPr>
    </w:lvl>
    <w:lvl w:ilvl="3" w:tplc="F872ECB6">
      <w:numFmt w:val="bullet"/>
      <w:lvlText w:val=""/>
      <w:lvlJc w:val="left"/>
      <w:pPr>
        <w:ind w:left="2880" w:hanging="360"/>
      </w:pPr>
      <w:rPr>
        <w:rFonts w:ascii="Symbol" w:eastAsiaTheme="minorHAnsi" w:hAnsi="Symbol" w:cstheme="minorBidi"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E6FFB"/>
    <w:multiLevelType w:val="hybridMultilevel"/>
    <w:tmpl w:val="959E7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08038F"/>
    <w:multiLevelType w:val="hybridMultilevel"/>
    <w:tmpl w:val="490CD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21103F"/>
    <w:multiLevelType w:val="hybridMultilevel"/>
    <w:tmpl w:val="EE086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42368D"/>
    <w:multiLevelType w:val="hybridMultilevel"/>
    <w:tmpl w:val="2ADC91B0"/>
    <w:lvl w:ilvl="0" w:tplc="04090001">
      <w:start w:val="1"/>
      <w:numFmt w:val="bullet"/>
      <w:lvlText w:val=""/>
      <w:lvlJc w:val="left"/>
      <w:pPr>
        <w:ind w:left="1800" w:hanging="360"/>
      </w:pPr>
      <w:rPr>
        <w:rFonts w:ascii="Symbol" w:hAnsi="Symbol" w:hint="default"/>
      </w:rPr>
    </w:lvl>
    <w:lvl w:ilvl="1" w:tplc="B2E2170A">
      <w:numFmt w:val="bullet"/>
      <w:lvlText w:val="•"/>
      <w:lvlJc w:val="left"/>
      <w:pPr>
        <w:ind w:left="2880" w:hanging="72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5C72E6"/>
    <w:multiLevelType w:val="hybridMultilevel"/>
    <w:tmpl w:val="5A96AFF6"/>
    <w:lvl w:ilvl="0" w:tplc="82101538">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BC23DE"/>
    <w:multiLevelType w:val="hybridMultilevel"/>
    <w:tmpl w:val="8340A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034A1D"/>
    <w:multiLevelType w:val="hybridMultilevel"/>
    <w:tmpl w:val="F5267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5F7711"/>
    <w:multiLevelType w:val="multilevel"/>
    <w:tmpl w:val="72CC5F54"/>
    <w:lvl w:ilvl="0">
      <w:start w:val="1"/>
      <w:numFmt w:val="decimal"/>
      <w:pStyle w:val="Heading1"/>
      <w:lvlText w:val="%1.0"/>
      <w:lvlJc w:val="left"/>
      <w:pPr>
        <w:tabs>
          <w:tab w:val="num" w:pos="1004"/>
        </w:tabs>
        <w:ind w:left="1004"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8" w15:restartNumberingAfterBreak="0">
    <w:nsid w:val="42CA7426"/>
    <w:multiLevelType w:val="hybridMultilevel"/>
    <w:tmpl w:val="2F44A4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3E037F"/>
    <w:multiLevelType w:val="hybridMultilevel"/>
    <w:tmpl w:val="7E1A4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12D612E"/>
    <w:multiLevelType w:val="hybridMultilevel"/>
    <w:tmpl w:val="F580DE9E"/>
    <w:lvl w:ilvl="0" w:tplc="F3824C3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3E78F4"/>
    <w:multiLevelType w:val="hybridMultilevel"/>
    <w:tmpl w:val="DF2E7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DB08E4"/>
    <w:multiLevelType w:val="hybridMultilevel"/>
    <w:tmpl w:val="FD5A15D8"/>
    <w:lvl w:ilvl="0" w:tplc="A4389E4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3010EA"/>
    <w:multiLevelType w:val="hybridMultilevel"/>
    <w:tmpl w:val="482AE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567890"/>
    <w:multiLevelType w:val="multilevel"/>
    <w:tmpl w:val="06C8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733FB3"/>
    <w:multiLevelType w:val="hybridMultilevel"/>
    <w:tmpl w:val="F8184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45435C"/>
    <w:multiLevelType w:val="hybridMultilevel"/>
    <w:tmpl w:val="BCC45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9"/>
  </w:num>
  <w:num w:numId="4">
    <w:abstractNumId w:val="25"/>
  </w:num>
  <w:num w:numId="5">
    <w:abstractNumId w:val="13"/>
  </w:num>
  <w:num w:numId="6">
    <w:abstractNumId w:val="19"/>
  </w:num>
  <w:num w:numId="7">
    <w:abstractNumId w:val="11"/>
  </w:num>
  <w:num w:numId="8">
    <w:abstractNumId w:val="7"/>
  </w:num>
  <w:num w:numId="9">
    <w:abstractNumId w:val="18"/>
  </w:num>
  <w:num w:numId="10">
    <w:abstractNumId w:val="15"/>
  </w:num>
  <w:num w:numId="11">
    <w:abstractNumId w:val="27"/>
  </w:num>
  <w:num w:numId="12">
    <w:abstractNumId w:val="10"/>
  </w:num>
  <w:num w:numId="13">
    <w:abstractNumId w:val="1"/>
  </w:num>
  <w:num w:numId="14">
    <w:abstractNumId w:val="14"/>
  </w:num>
  <w:num w:numId="15">
    <w:abstractNumId w:val="2"/>
  </w:num>
  <w:num w:numId="16">
    <w:abstractNumId w:val="12"/>
  </w:num>
  <w:num w:numId="17">
    <w:abstractNumId w:val="22"/>
  </w:num>
  <w:num w:numId="18">
    <w:abstractNumId w:val="0"/>
  </w:num>
  <w:num w:numId="19">
    <w:abstractNumId w:val="16"/>
  </w:num>
  <w:num w:numId="20">
    <w:abstractNumId w:val="5"/>
  </w:num>
  <w:num w:numId="21">
    <w:abstractNumId w:val="3"/>
  </w:num>
  <w:num w:numId="22">
    <w:abstractNumId w:val="8"/>
  </w:num>
  <w:num w:numId="23">
    <w:abstractNumId w:val="23"/>
  </w:num>
  <w:num w:numId="24">
    <w:abstractNumId w:val="2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0EB7"/>
    <w:rsid w:val="00011EA4"/>
    <w:rsid w:val="00012BB9"/>
    <w:rsid w:val="00015B87"/>
    <w:rsid w:val="00017943"/>
    <w:rsid w:val="000208DF"/>
    <w:rsid w:val="000231C4"/>
    <w:rsid w:val="00026FC9"/>
    <w:rsid w:val="00027FDD"/>
    <w:rsid w:val="00032A7A"/>
    <w:rsid w:val="00033B9F"/>
    <w:rsid w:val="00035B46"/>
    <w:rsid w:val="0003639A"/>
    <w:rsid w:val="00037397"/>
    <w:rsid w:val="0004141C"/>
    <w:rsid w:val="00041BFB"/>
    <w:rsid w:val="000432DF"/>
    <w:rsid w:val="000435FC"/>
    <w:rsid w:val="0004369B"/>
    <w:rsid w:val="000439EB"/>
    <w:rsid w:val="00043B1C"/>
    <w:rsid w:val="0005125C"/>
    <w:rsid w:val="000513C8"/>
    <w:rsid w:val="000538C8"/>
    <w:rsid w:val="00056D03"/>
    <w:rsid w:val="00060730"/>
    <w:rsid w:val="0006775F"/>
    <w:rsid w:val="00067F9D"/>
    <w:rsid w:val="0007015E"/>
    <w:rsid w:val="000769EF"/>
    <w:rsid w:val="00092EBC"/>
    <w:rsid w:val="00095C47"/>
    <w:rsid w:val="00097717"/>
    <w:rsid w:val="000A0CD5"/>
    <w:rsid w:val="000A11A4"/>
    <w:rsid w:val="000A1FCC"/>
    <w:rsid w:val="000A3686"/>
    <w:rsid w:val="000A4E44"/>
    <w:rsid w:val="000B22C9"/>
    <w:rsid w:val="000B3B9D"/>
    <w:rsid w:val="000B5CFB"/>
    <w:rsid w:val="000C0827"/>
    <w:rsid w:val="000C223C"/>
    <w:rsid w:val="000D439A"/>
    <w:rsid w:val="000D4540"/>
    <w:rsid w:val="000D4DD7"/>
    <w:rsid w:val="000D736C"/>
    <w:rsid w:val="000E16E8"/>
    <w:rsid w:val="000E1DF0"/>
    <w:rsid w:val="000F14F2"/>
    <w:rsid w:val="000F515D"/>
    <w:rsid w:val="00100C5B"/>
    <w:rsid w:val="001022FA"/>
    <w:rsid w:val="00104CBF"/>
    <w:rsid w:val="00104F93"/>
    <w:rsid w:val="001123BD"/>
    <w:rsid w:val="0011355B"/>
    <w:rsid w:val="001147C0"/>
    <w:rsid w:val="00114E5E"/>
    <w:rsid w:val="0012238B"/>
    <w:rsid w:val="00124E96"/>
    <w:rsid w:val="0012757A"/>
    <w:rsid w:val="001300AA"/>
    <w:rsid w:val="001328A6"/>
    <w:rsid w:val="001331C3"/>
    <w:rsid w:val="00134D2F"/>
    <w:rsid w:val="0013587A"/>
    <w:rsid w:val="00135BAC"/>
    <w:rsid w:val="00141A43"/>
    <w:rsid w:val="00142CC4"/>
    <w:rsid w:val="001453A7"/>
    <w:rsid w:val="00152989"/>
    <w:rsid w:val="00155D53"/>
    <w:rsid w:val="001578FC"/>
    <w:rsid w:val="00161D4F"/>
    <w:rsid w:val="00162574"/>
    <w:rsid w:val="00163A96"/>
    <w:rsid w:val="0016466C"/>
    <w:rsid w:val="001654F4"/>
    <w:rsid w:val="00171172"/>
    <w:rsid w:val="00171405"/>
    <w:rsid w:val="0017266D"/>
    <w:rsid w:val="00173BE9"/>
    <w:rsid w:val="00177DDC"/>
    <w:rsid w:val="001804CF"/>
    <w:rsid w:val="0018110E"/>
    <w:rsid w:val="00184A93"/>
    <w:rsid w:val="0018588C"/>
    <w:rsid w:val="001865C5"/>
    <w:rsid w:val="00191DD4"/>
    <w:rsid w:val="00195044"/>
    <w:rsid w:val="00195263"/>
    <w:rsid w:val="00196F13"/>
    <w:rsid w:val="001A04C6"/>
    <w:rsid w:val="001A0F88"/>
    <w:rsid w:val="001A1030"/>
    <w:rsid w:val="001A1215"/>
    <w:rsid w:val="001A4305"/>
    <w:rsid w:val="001B008C"/>
    <w:rsid w:val="001B3294"/>
    <w:rsid w:val="001B43E3"/>
    <w:rsid w:val="001B56D6"/>
    <w:rsid w:val="001B7B64"/>
    <w:rsid w:val="001B7BA7"/>
    <w:rsid w:val="001C150A"/>
    <w:rsid w:val="001C193D"/>
    <w:rsid w:val="001C5792"/>
    <w:rsid w:val="001C6239"/>
    <w:rsid w:val="001D02DF"/>
    <w:rsid w:val="001D0B63"/>
    <w:rsid w:val="001D0C5A"/>
    <w:rsid w:val="001D6970"/>
    <w:rsid w:val="001D6F0F"/>
    <w:rsid w:val="001E1310"/>
    <w:rsid w:val="001E1437"/>
    <w:rsid w:val="001E3348"/>
    <w:rsid w:val="001F2420"/>
    <w:rsid w:val="00200B61"/>
    <w:rsid w:val="00202640"/>
    <w:rsid w:val="00203F18"/>
    <w:rsid w:val="00206004"/>
    <w:rsid w:val="00211D09"/>
    <w:rsid w:val="0021333A"/>
    <w:rsid w:val="002135D1"/>
    <w:rsid w:val="00213D29"/>
    <w:rsid w:val="0021408E"/>
    <w:rsid w:val="002207C0"/>
    <w:rsid w:val="00224118"/>
    <w:rsid w:val="002266B7"/>
    <w:rsid w:val="00231248"/>
    <w:rsid w:val="00231FCD"/>
    <w:rsid w:val="002366C7"/>
    <w:rsid w:val="00245F2F"/>
    <w:rsid w:val="00246608"/>
    <w:rsid w:val="0024721E"/>
    <w:rsid w:val="00247B11"/>
    <w:rsid w:val="002529C7"/>
    <w:rsid w:val="002540AC"/>
    <w:rsid w:val="00256074"/>
    <w:rsid w:val="00260C2E"/>
    <w:rsid w:val="0026372E"/>
    <w:rsid w:val="00263FE5"/>
    <w:rsid w:val="00266DE3"/>
    <w:rsid w:val="00267771"/>
    <w:rsid w:val="00272E48"/>
    <w:rsid w:val="00272F69"/>
    <w:rsid w:val="002735E4"/>
    <w:rsid w:val="00275896"/>
    <w:rsid w:val="002816F4"/>
    <w:rsid w:val="00284747"/>
    <w:rsid w:val="0028491B"/>
    <w:rsid w:val="00285102"/>
    <w:rsid w:val="00285C58"/>
    <w:rsid w:val="002874D5"/>
    <w:rsid w:val="00291167"/>
    <w:rsid w:val="00294594"/>
    <w:rsid w:val="00294DEA"/>
    <w:rsid w:val="002A65B3"/>
    <w:rsid w:val="002A6712"/>
    <w:rsid w:val="002A69FD"/>
    <w:rsid w:val="002B13F4"/>
    <w:rsid w:val="002B3C14"/>
    <w:rsid w:val="002B454D"/>
    <w:rsid w:val="002B586D"/>
    <w:rsid w:val="002B71BD"/>
    <w:rsid w:val="002C21ED"/>
    <w:rsid w:val="002C3ACA"/>
    <w:rsid w:val="002C4123"/>
    <w:rsid w:val="002C463E"/>
    <w:rsid w:val="002C7F7B"/>
    <w:rsid w:val="002D0114"/>
    <w:rsid w:val="002E10B9"/>
    <w:rsid w:val="002E5FB4"/>
    <w:rsid w:val="002F35EE"/>
    <w:rsid w:val="002F4CD4"/>
    <w:rsid w:val="002F4EDC"/>
    <w:rsid w:val="002F5B0E"/>
    <w:rsid w:val="00300749"/>
    <w:rsid w:val="00302CE9"/>
    <w:rsid w:val="00310C1B"/>
    <w:rsid w:val="00315988"/>
    <w:rsid w:val="00317022"/>
    <w:rsid w:val="00320121"/>
    <w:rsid w:val="003249A8"/>
    <w:rsid w:val="00324EEE"/>
    <w:rsid w:val="00325E5E"/>
    <w:rsid w:val="0033369D"/>
    <w:rsid w:val="003372D4"/>
    <w:rsid w:val="003411BE"/>
    <w:rsid w:val="00341DB5"/>
    <w:rsid w:val="00344D2A"/>
    <w:rsid w:val="00344E87"/>
    <w:rsid w:val="00345705"/>
    <w:rsid w:val="00347BB6"/>
    <w:rsid w:val="00347C46"/>
    <w:rsid w:val="00347D7F"/>
    <w:rsid w:val="00354002"/>
    <w:rsid w:val="00355ED8"/>
    <w:rsid w:val="003563D0"/>
    <w:rsid w:val="0036080D"/>
    <w:rsid w:val="00366DBC"/>
    <w:rsid w:val="0036727E"/>
    <w:rsid w:val="00372E8B"/>
    <w:rsid w:val="003735E3"/>
    <w:rsid w:val="00375BBC"/>
    <w:rsid w:val="003830D8"/>
    <w:rsid w:val="00387019"/>
    <w:rsid w:val="00391BD3"/>
    <w:rsid w:val="003A0B35"/>
    <w:rsid w:val="003A6227"/>
    <w:rsid w:val="003B5FCD"/>
    <w:rsid w:val="003B7782"/>
    <w:rsid w:val="003D0EE6"/>
    <w:rsid w:val="003D0F5A"/>
    <w:rsid w:val="003D161B"/>
    <w:rsid w:val="003D6C45"/>
    <w:rsid w:val="003E1AA3"/>
    <w:rsid w:val="003E7238"/>
    <w:rsid w:val="003F0198"/>
    <w:rsid w:val="003F5E48"/>
    <w:rsid w:val="003F711A"/>
    <w:rsid w:val="00401730"/>
    <w:rsid w:val="00404F55"/>
    <w:rsid w:val="00406713"/>
    <w:rsid w:val="0040685E"/>
    <w:rsid w:val="004138BF"/>
    <w:rsid w:val="00414D6A"/>
    <w:rsid w:val="0041651E"/>
    <w:rsid w:val="00423A44"/>
    <w:rsid w:val="004252CD"/>
    <w:rsid w:val="00427AFE"/>
    <w:rsid w:val="0043163C"/>
    <w:rsid w:val="00434B4D"/>
    <w:rsid w:val="00435603"/>
    <w:rsid w:val="004357FE"/>
    <w:rsid w:val="00441287"/>
    <w:rsid w:val="0044295A"/>
    <w:rsid w:val="00443A10"/>
    <w:rsid w:val="00443E7F"/>
    <w:rsid w:val="00444D43"/>
    <w:rsid w:val="004506FF"/>
    <w:rsid w:val="00451353"/>
    <w:rsid w:val="00455415"/>
    <w:rsid w:val="00462930"/>
    <w:rsid w:val="004630C7"/>
    <w:rsid w:val="0046793A"/>
    <w:rsid w:val="00471971"/>
    <w:rsid w:val="004721B0"/>
    <w:rsid w:val="004751F0"/>
    <w:rsid w:val="00475290"/>
    <w:rsid w:val="00480041"/>
    <w:rsid w:val="00480165"/>
    <w:rsid w:val="004822C3"/>
    <w:rsid w:val="00482683"/>
    <w:rsid w:val="00490442"/>
    <w:rsid w:val="00491B79"/>
    <w:rsid w:val="004922A8"/>
    <w:rsid w:val="00494BC3"/>
    <w:rsid w:val="00494E13"/>
    <w:rsid w:val="004A0507"/>
    <w:rsid w:val="004A0807"/>
    <w:rsid w:val="004A17BD"/>
    <w:rsid w:val="004A1ACF"/>
    <w:rsid w:val="004A4C05"/>
    <w:rsid w:val="004A5ABA"/>
    <w:rsid w:val="004A7949"/>
    <w:rsid w:val="004B0A37"/>
    <w:rsid w:val="004B2154"/>
    <w:rsid w:val="004B4926"/>
    <w:rsid w:val="004B5354"/>
    <w:rsid w:val="004C74C3"/>
    <w:rsid w:val="004D0725"/>
    <w:rsid w:val="004D2E91"/>
    <w:rsid w:val="004D4B89"/>
    <w:rsid w:val="004D675F"/>
    <w:rsid w:val="004E0A3F"/>
    <w:rsid w:val="004E11A8"/>
    <w:rsid w:val="004E3248"/>
    <w:rsid w:val="004E5BD0"/>
    <w:rsid w:val="004E65A5"/>
    <w:rsid w:val="004F1290"/>
    <w:rsid w:val="004F3163"/>
    <w:rsid w:val="004F5659"/>
    <w:rsid w:val="004F620C"/>
    <w:rsid w:val="004F66A7"/>
    <w:rsid w:val="004F72DC"/>
    <w:rsid w:val="004F7F45"/>
    <w:rsid w:val="00503128"/>
    <w:rsid w:val="00503962"/>
    <w:rsid w:val="00503DC1"/>
    <w:rsid w:val="00504330"/>
    <w:rsid w:val="00504DEF"/>
    <w:rsid w:val="00506EE2"/>
    <w:rsid w:val="00513121"/>
    <w:rsid w:val="0051565F"/>
    <w:rsid w:val="005166C2"/>
    <w:rsid w:val="00516CBC"/>
    <w:rsid w:val="00516F72"/>
    <w:rsid w:val="005251CE"/>
    <w:rsid w:val="0052693D"/>
    <w:rsid w:val="00526D66"/>
    <w:rsid w:val="005328B0"/>
    <w:rsid w:val="005340CF"/>
    <w:rsid w:val="00534F9B"/>
    <w:rsid w:val="00535123"/>
    <w:rsid w:val="00535786"/>
    <w:rsid w:val="00535B6C"/>
    <w:rsid w:val="00537C04"/>
    <w:rsid w:val="00537DDF"/>
    <w:rsid w:val="005401B6"/>
    <w:rsid w:val="00542376"/>
    <w:rsid w:val="00542A50"/>
    <w:rsid w:val="00552113"/>
    <w:rsid w:val="0055445C"/>
    <w:rsid w:val="00557D97"/>
    <w:rsid w:val="00560AE9"/>
    <w:rsid w:val="00563885"/>
    <w:rsid w:val="00564E4E"/>
    <w:rsid w:val="005755EB"/>
    <w:rsid w:val="005826A4"/>
    <w:rsid w:val="005850E0"/>
    <w:rsid w:val="0058657F"/>
    <w:rsid w:val="0059158B"/>
    <w:rsid w:val="005930C2"/>
    <w:rsid w:val="00593456"/>
    <w:rsid w:val="00594FFC"/>
    <w:rsid w:val="005956A7"/>
    <w:rsid w:val="005A0C58"/>
    <w:rsid w:val="005A4CA3"/>
    <w:rsid w:val="005B073A"/>
    <w:rsid w:val="005B476D"/>
    <w:rsid w:val="005B4D92"/>
    <w:rsid w:val="005B5CFC"/>
    <w:rsid w:val="005B781C"/>
    <w:rsid w:val="005C6332"/>
    <w:rsid w:val="005D056B"/>
    <w:rsid w:val="005D305C"/>
    <w:rsid w:val="005D32CB"/>
    <w:rsid w:val="005E215D"/>
    <w:rsid w:val="005E24D6"/>
    <w:rsid w:val="005E3669"/>
    <w:rsid w:val="005E47BA"/>
    <w:rsid w:val="005E5EE2"/>
    <w:rsid w:val="005E76E2"/>
    <w:rsid w:val="005F4E9C"/>
    <w:rsid w:val="005F768A"/>
    <w:rsid w:val="005F7942"/>
    <w:rsid w:val="00605123"/>
    <w:rsid w:val="006063C4"/>
    <w:rsid w:val="006077B7"/>
    <w:rsid w:val="006102E1"/>
    <w:rsid w:val="0061042A"/>
    <w:rsid w:val="0061464A"/>
    <w:rsid w:val="00614A39"/>
    <w:rsid w:val="006157B3"/>
    <w:rsid w:val="0062180F"/>
    <w:rsid w:val="006231AA"/>
    <w:rsid w:val="0062553F"/>
    <w:rsid w:val="00627C25"/>
    <w:rsid w:val="00630CDE"/>
    <w:rsid w:val="006318A3"/>
    <w:rsid w:val="006348A4"/>
    <w:rsid w:val="0063584B"/>
    <w:rsid w:val="00635C24"/>
    <w:rsid w:val="00637552"/>
    <w:rsid w:val="0063793B"/>
    <w:rsid w:val="006405FA"/>
    <w:rsid w:val="00640816"/>
    <w:rsid w:val="00642694"/>
    <w:rsid w:val="00645BA9"/>
    <w:rsid w:val="00651C6D"/>
    <w:rsid w:val="00653BEF"/>
    <w:rsid w:val="0066291E"/>
    <w:rsid w:val="006678AA"/>
    <w:rsid w:val="00676741"/>
    <w:rsid w:val="00680F41"/>
    <w:rsid w:val="0068119E"/>
    <w:rsid w:val="006827E9"/>
    <w:rsid w:val="006831CF"/>
    <w:rsid w:val="00686BF2"/>
    <w:rsid w:val="00690C26"/>
    <w:rsid w:val="006916B3"/>
    <w:rsid w:val="006933CE"/>
    <w:rsid w:val="00693D9E"/>
    <w:rsid w:val="00693DCF"/>
    <w:rsid w:val="00695E30"/>
    <w:rsid w:val="00697726"/>
    <w:rsid w:val="006A023B"/>
    <w:rsid w:val="006A328F"/>
    <w:rsid w:val="006A4B18"/>
    <w:rsid w:val="006A4B9B"/>
    <w:rsid w:val="006A5899"/>
    <w:rsid w:val="006B0F07"/>
    <w:rsid w:val="006B5183"/>
    <w:rsid w:val="006B65D2"/>
    <w:rsid w:val="006B7B26"/>
    <w:rsid w:val="006C15BF"/>
    <w:rsid w:val="006C203D"/>
    <w:rsid w:val="006C5420"/>
    <w:rsid w:val="006C5862"/>
    <w:rsid w:val="006C7AAB"/>
    <w:rsid w:val="006D5DF9"/>
    <w:rsid w:val="006E06F1"/>
    <w:rsid w:val="006E0CFD"/>
    <w:rsid w:val="006E0EC1"/>
    <w:rsid w:val="006E2B7B"/>
    <w:rsid w:val="006E3D24"/>
    <w:rsid w:val="006E517D"/>
    <w:rsid w:val="006E70B7"/>
    <w:rsid w:val="006F1B84"/>
    <w:rsid w:val="006F1D16"/>
    <w:rsid w:val="006F2755"/>
    <w:rsid w:val="006F3B89"/>
    <w:rsid w:val="006F61B4"/>
    <w:rsid w:val="0070211D"/>
    <w:rsid w:val="00703C4F"/>
    <w:rsid w:val="007044F7"/>
    <w:rsid w:val="00704A3A"/>
    <w:rsid w:val="00712B5F"/>
    <w:rsid w:val="00713A81"/>
    <w:rsid w:val="00713D68"/>
    <w:rsid w:val="00713DCC"/>
    <w:rsid w:val="00724BFF"/>
    <w:rsid w:val="007251A8"/>
    <w:rsid w:val="0072739C"/>
    <w:rsid w:val="007275B5"/>
    <w:rsid w:val="0073153B"/>
    <w:rsid w:val="00733A09"/>
    <w:rsid w:val="0073526E"/>
    <w:rsid w:val="00737F66"/>
    <w:rsid w:val="00741525"/>
    <w:rsid w:val="0075079B"/>
    <w:rsid w:val="007516A7"/>
    <w:rsid w:val="007525A4"/>
    <w:rsid w:val="00753E81"/>
    <w:rsid w:val="0075678D"/>
    <w:rsid w:val="00757986"/>
    <w:rsid w:val="0076206B"/>
    <w:rsid w:val="00763460"/>
    <w:rsid w:val="007637C4"/>
    <w:rsid w:val="007639EE"/>
    <w:rsid w:val="00764144"/>
    <w:rsid w:val="007659DF"/>
    <w:rsid w:val="0076601D"/>
    <w:rsid w:val="007722EC"/>
    <w:rsid w:val="007745D9"/>
    <w:rsid w:val="007746CA"/>
    <w:rsid w:val="00781BB7"/>
    <w:rsid w:val="00783798"/>
    <w:rsid w:val="007840D2"/>
    <w:rsid w:val="00790892"/>
    <w:rsid w:val="00791F8F"/>
    <w:rsid w:val="00793184"/>
    <w:rsid w:val="007937AB"/>
    <w:rsid w:val="007946B2"/>
    <w:rsid w:val="007966D9"/>
    <w:rsid w:val="007A1821"/>
    <w:rsid w:val="007A2913"/>
    <w:rsid w:val="007A32AC"/>
    <w:rsid w:val="007B13BB"/>
    <w:rsid w:val="007B161F"/>
    <w:rsid w:val="007C3129"/>
    <w:rsid w:val="007C56EB"/>
    <w:rsid w:val="007C7E47"/>
    <w:rsid w:val="007D41E2"/>
    <w:rsid w:val="007D519E"/>
    <w:rsid w:val="007D56DF"/>
    <w:rsid w:val="007D5E18"/>
    <w:rsid w:val="007D7046"/>
    <w:rsid w:val="007E1960"/>
    <w:rsid w:val="007E1CE9"/>
    <w:rsid w:val="007F4162"/>
    <w:rsid w:val="007F43A2"/>
    <w:rsid w:val="007F791B"/>
    <w:rsid w:val="007F7E08"/>
    <w:rsid w:val="00800869"/>
    <w:rsid w:val="00802F8F"/>
    <w:rsid w:val="00803579"/>
    <w:rsid w:val="00803846"/>
    <w:rsid w:val="00804CED"/>
    <w:rsid w:val="008125EE"/>
    <w:rsid w:val="00812BDE"/>
    <w:rsid w:val="00813974"/>
    <w:rsid w:val="00814768"/>
    <w:rsid w:val="00820D76"/>
    <w:rsid w:val="00831064"/>
    <w:rsid w:val="008314B2"/>
    <w:rsid w:val="008329E0"/>
    <w:rsid w:val="008378DE"/>
    <w:rsid w:val="00837903"/>
    <w:rsid w:val="00842B30"/>
    <w:rsid w:val="008523FC"/>
    <w:rsid w:val="00853788"/>
    <w:rsid w:val="00853959"/>
    <w:rsid w:val="00855808"/>
    <w:rsid w:val="0086000E"/>
    <w:rsid w:val="008626FA"/>
    <w:rsid w:val="00863ED0"/>
    <w:rsid w:val="0086653D"/>
    <w:rsid w:val="00866A52"/>
    <w:rsid w:val="00866AFE"/>
    <w:rsid w:val="00866C8D"/>
    <w:rsid w:val="00870468"/>
    <w:rsid w:val="00872560"/>
    <w:rsid w:val="008750E3"/>
    <w:rsid w:val="00875E85"/>
    <w:rsid w:val="0087613A"/>
    <w:rsid w:val="008772B3"/>
    <w:rsid w:val="00882847"/>
    <w:rsid w:val="00892054"/>
    <w:rsid w:val="00893415"/>
    <w:rsid w:val="00894132"/>
    <w:rsid w:val="0089477E"/>
    <w:rsid w:val="0089511E"/>
    <w:rsid w:val="00896C68"/>
    <w:rsid w:val="0089713C"/>
    <w:rsid w:val="008A077B"/>
    <w:rsid w:val="008A538F"/>
    <w:rsid w:val="008B7C47"/>
    <w:rsid w:val="008B7C70"/>
    <w:rsid w:val="008D1B75"/>
    <w:rsid w:val="008D2E30"/>
    <w:rsid w:val="008D45E5"/>
    <w:rsid w:val="008D4AE7"/>
    <w:rsid w:val="008D5636"/>
    <w:rsid w:val="008D7AC3"/>
    <w:rsid w:val="008E1D39"/>
    <w:rsid w:val="008E3867"/>
    <w:rsid w:val="008E445D"/>
    <w:rsid w:val="008E6601"/>
    <w:rsid w:val="008F240C"/>
    <w:rsid w:val="008F36ED"/>
    <w:rsid w:val="008F7974"/>
    <w:rsid w:val="00903A70"/>
    <w:rsid w:val="00903CC9"/>
    <w:rsid w:val="009057AD"/>
    <w:rsid w:val="00905E98"/>
    <w:rsid w:val="00906D0E"/>
    <w:rsid w:val="009120A2"/>
    <w:rsid w:val="00913750"/>
    <w:rsid w:val="00917A44"/>
    <w:rsid w:val="00917EB1"/>
    <w:rsid w:val="00923803"/>
    <w:rsid w:val="009255ED"/>
    <w:rsid w:val="0092602F"/>
    <w:rsid w:val="00927DA9"/>
    <w:rsid w:val="00933784"/>
    <w:rsid w:val="0094098F"/>
    <w:rsid w:val="00941507"/>
    <w:rsid w:val="0094297A"/>
    <w:rsid w:val="00943030"/>
    <w:rsid w:val="009451C6"/>
    <w:rsid w:val="009501E1"/>
    <w:rsid w:val="00950ADB"/>
    <w:rsid w:val="0095285C"/>
    <w:rsid w:val="0095306B"/>
    <w:rsid w:val="0095432E"/>
    <w:rsid w:val="0095558F"/>
    <w:rsid w:val="009561F0"/>
    <w:rsid w:val="009610A4"/>
    <w:rsid w:val="00965B8F"/>
    <w:rsid w:val="00971388"/>
    <w:rsid w:val="00971AC2"/>
    <w:rsid w:val="0097578F"/>
    <w:rsid w:val="00981E5E"/>
    <w:rsid w:val="009834EB"/>
    <w:rsid w:val="00984DF0"/>
    <w:rsid w:val="0098590C"/>
    <w:rsid w:val="00987100"/>
    <w:rsid w:val="009933B0"/>
    <w:rsid w:val="00993B28"/>
    <w:rsid w:val="00995055"/>
    <w:rsid w:val="0099694F"/>
    <w:rsid w:val="00997347"/>
    <w:rsid w:val="00997AF5"/>
    <w:rsid w:val="009A3A42"/>
    <w:rsid w:val="009A655D"/>
    <w:rsid w:val="009A6E95"/>
    <w:rsid w:val="009B0D0B"/>
    <w:rsid w:val="009B1B5A"/>
    <w:rsid w:val="009B2BCC"/>
    <w:rsid w:val="009B421B"/>
    <w:rsid w:val="009B466B"/>
    <w:rsid w:val="009C3246"/>
    <w:rsid w:val="009C382B"/>
    <w:rsid w:val="009C5FF5"/>
    <w:rsid w:val="009C64C2"/>
    <w:rsid w:val="009E1DBE"/>
    <w:rsid w:val="009E7CE5"/>
    <w:rsid w:val="009F1DA8"/>
    <w:rsid w:val="009F3E4B"/>
    <w:rsid w:val="009F45D6"/>
    <w:rsid w:val="009F46F5"/>
    <w:rsid w:val="009F664F"/>
    <w:rsid w:val="00A01132"/>
    <w:rsid w:val="00A01EEA"/>
    <w:rsid w:val="00A0334A"/>
    <w:rsid w:val="00A0463F"/>
    <w:rsid w:val="00A04D97"/>
    <w:rsid w:val="00A052A6"/>
    <w:rsid w:val="00A10342"/>
    <w:rsid w:val="00A1142D"/>
    <w:rsid w:val="00A12471"/>
    <w:rsid w:val="00A14384"/>
    <w:rsid w:val="00A17C74"/>
    <w:rsid w:val="00A2512E"/>
    <w:rsid w:val="00A25148"/>
    <w:rsid w:val="00A260C2"/>
    <w:rsid w:val="00A30AE6"/>
    <w:rsid w:val="00A312BF"/>
    <w:rsid w:val="00A315CF"/>
    <w:rsid w:val="00A32271"/>
    <w:rsid w:val="00A325E3"/>
    <w:rsid w:val="00A33C7D"/>
    <w:rsid w:val="00A370C3"/>
    <w:rsid w:val="00A4053E"/>
    <w:rsid w:val="00A429A3"/>
    <w:rsid w:val="00A4383E"/>
    <w:rsid w:val="00A53834"/>
    <w:rsid w:val="00A57AED"/>
    <w:rsid w:val="00A62217"/>
    <w:rsid w:val="00A673B4"/>
    <w:rsid w:val="00A67C6A"/>
    <w:rsid w:val="00A74B14"/>
    <w:rsid w:val="00A76013"/>
    <w:rsid w:val="00A7661B"/>
    <w:rsid w:val="00A7767B"/>
    <w:rsid w:val="00A81170"/>
    <w:rsid w:val="00A825E8"/>
    <w:rsid w:val="00A8736C"/>
    <w:rsid w:val="00A91955"/>
    <w:rsid w:val="00AA12D6"/>
    <w:rsid w:val="00AA27F9"/>
    <w:rsid w:val="00AA7C5A"/>
    <w:rsid w:val="00AB0E4B"/>
    <w:rsid w:val="00AB2813"/>
    <w:rsid w:val="00AB2C8A"/>
    <w:rsid w:val="00AC7669"/>
    <w:rsid w:val="00AD0D7F"/>
    <w:rsid w:val="00AE2C1C"/>
    <w:rsid w:val="00AE49C3"/>
    <w:rsid w:val="00AE7DAF"/>
    <w:rsid w:val="00AF7467"/>
    <w:rsid w:val="00B01913"/>
    <w:rsid w:val="00B01D5E"/>
    <w:rsid w:val="00B049D4"/>
    <w:rsid w:val="00B0659E"/>
    <w:rsid w:val="00B06CC3"/>
    <w:rsid w:val="00B1146C"/>
    <w:rsid w:val="00B13A1D"/>
    <w:rsid w:val="00B227FA"/>
    <w:rsid w:val="00B40532"/>
    <w:rsid w:val="00B42FEF"/>
    <w:rsid w:val="00B4480F"/>
    <w:rsid w:val="00B46103"/>
    <w:rsid w:val="00B53FD4"/>
    <w:rsid w:val="00B54C69"/>
    <w:rsid w:val="00B56151"/>
    <w:rsid w:val="00B61F62"/>
    <w:rsid w:val="00B67980"/>
    <w:rsid w:val="00B75079"/>
    <w:rsid w:val="00B774EB"/>
    <w:rsid w:val="00B7777A"/>
    <w:rsid w:val="00B7792C"/>
    <w:rsid w:val="00B816FC"/>
    <w:rsid w:val="00B829A5"/>
    <w:rsid w:val="00B829B0"/>
    <w:rsid w:val="00B863AC"/>
    <w:rsid w:val="00B96410"/>
    <w:rsid w:val="00BA24BC"/>
    <w:rsid w:val="00BA24FE"/>
    <w:rsid w:val="00BA6594"/>
    <w:rsid w:val="00BB1371"/>
    <w:rsid w:val="00BB1BCD"/>
    <w:rsid w:val="00BB55D0"/>
    <w:rsid w:val="00BB61A2"/>
    <w:rsid w:val="00BB7433"/>
    <w:rsid w:val="00BB7781"/>
    <w:rsid w:val="00BB7FF5"/>
    <w:rsid w:val="00BC0DE5"/>
    <w:rsid w:val="00BC3A24"/>
    <w:rsid w:val="00BC6033"/>
    <w:rsid w:val="00BD1D42"/>
    <w:rsid w:val="00BD2E44"/>
    <w:rsid w:val="00BD70ED"/>
    <w:rsid w:val="00BE288D"/>
    <w:rsid w:val="00BE2C1A"/>
    <w:rsid w:val="00BE3EB3"/>
    <w:rsid w:val="00BE5E62"/>
    <w:rsid w:val="00BF2C60"/>
    <w:rsid w:val="00BF3163"/>
    <w:rsid w:val="00BF59C5"/>
    <w:rsid w:val="00BF6BD4"/>
    <w:rsid w:val="00C05769"/>
    <w:rsid w:val="00C10ADD"/>
    <w:rsid w:val="00C166DF"/>
    <w:rsid w:val="00C2268B"/>
    <w:rsid w:val="00C251AF"/>
    <w:rsid w:val="00C25264"/>
    <w:rsid w:val="00C25F2A"/>
    <w:rsid w:val="00C31D6A"/>
    <w:rsid w:val="00C33440"/>
    <w:rsid w:val="00C34B50"/>
    <w:rsid w:val="00C36F91"/>
    <w:rsid w:val="00C403D7"/>
    <w:rsid w:val="00C40F00"/>
    <w:rsid w:val="00C41452"/>
    <w:rsid w:val="00C511FD"/>
    <w:rsid w:val="00C552CE"/>
    <w:rsid w:val="00C56798"/>
    <w:rsid w:val="00C56DBB"/>
    <w:rsid w:val="00C576C6"/>
    <w:rsid w:val="00C57913"/>
    <w:rsid w:val="00C600C3"/>
    <w:rsid w:val="00C607FA"/>
    <w:rsid w:val="00C60E0C"/>
    <w:rsid w:val="00C63272"/>
    <w:rsid w:val="00C66162"/>
    <w:rsid w:val="00C677C7"/>
    <w:rsid w:val="00C67F17"/>
    <w:rsid w:val="00C72DB6"/>
    <w:rsid w:val="00C73872"/>
    <w:rsid w:val="00C73C4D"/>
    <w:rsid w:val="00C74647"/>
    <w:rsid w:val="00C7478F"/>
    <w:rsid w:val="00C74AF5"/>
    <w:rsid w:val="00C751C7"/>
    <w:rsid w:val="00C7671E"/>
    <w:rsid w:val="00C76EEE"/>
    <w:rsid w:val="00C80960"/>
    <w:rsid w:val="00C81A4F"/>
    <w:rsid w:val="00C8580F"/>
    <w:rsid w:val="00C86C9F"/>
    <w:rsid w:val="00C870E2"/>
    <w:rsid w:val="00C90D1D"/>
    <w:rsid w:val="00C91298"/>
    <w:rsid w:val="00C9352E"/>
    <w:rsid w:val="00C95BE7"/>
    <w:rsid w:val="00C975D4"/>
    <w:rsid w:val="00CA10A1"/>
    <w:rsid w:val="00CA1CCD"/>
    <w:rsid w:val="00CA3A57"/>
    <w:rsid w:val="00CA3FA1"/>
    <w:rsid w:val="00CB0DF9"/>
    <w:rsid w:val="00CB1A76"/>
    <w:rsid w:val="00CB24FE"/>
    <w:rsid w:val="00CB4F46"/>
    <w:rsid w:val="00CB6C40"/>
    <w:rsid w:val="00CC25AB"/>
    <w:rsid w:val="00CC45C6"/>
    <w:rsid w:val="00CC4718"/>
    <w:rsid w:val="00CC4C52"/>
    <w:rsid w:val="00CD03C2"/>
    <w:rsid w:val="00CD14CB"/>
    <w:rsid w:val="00CD34A5"/>
    <w:rsid w:val="00CD5422"/>
    <w:rsid w:val="00CD7F79"/>
    <w:rsid w:val="00CE5BC4"/>
    <w:rsid w:val="00CF0B7D"/>
    <w:rsid w:val="00CF5C1C"/>
    <w:rsid w:val="00CF6A99"/>
    <w:rsid w:val="00D03A6B"/>
    <w:rsid w:val="00D0660E"/>
    <w:rsid w:val="00D06ED2"/>
    <w:rsid w:val="00D1002A"/>
    <w:rsid w:val="00D13C38"/>
    <w:rsid w:val="00D20236"/>
    <w:rsid w:val="00D2111D"/>
    <w:rsid w:val="00D22BE1"/>
    <w:rsid w:val="00D24F8E"/>
    <w:rsid w:val="00D25CE8"/>
    <w:rsid w:val="00D25FEC"/>
    <w:rsid w:val="00D317A5"/>
    <w:rsid w:val="00D32BE9"/>
    <w:rsid w:val="00D3377A"/>
    <w:rsid w:val="00D33AB1"/>
    <w:rsid w:val="00D352D1"/>
    <w:rsid w:val="00D406BD"/>
    <w:rsid w:val="00D45F7E"/>
    <w:rsid w:val="00D51258"/>
    <w:rsid w:val="00D51A02"/>
    <w:rsid w:val="00D5465C"/>
    <w:rsid w:val="00D62F0A"/>
    <w:rsid w:val="00D64ABA"/>
    <w:rsid w:val="00D70D6F"/>
    <w:rsid w:val="00D73596"/>
    <w:rsid w:val="00D770ED"/>
    <w:rsid w:val="00D823E8"/>
    <w:rsid w:val="00D826E5"/>
    <w:rsid w:val="00D85CC9"/>
    <w:rsid w:val="00D907A8"/>
    <w:rsid w:val="00D932CD"/>
    <w:rsid w:val="00D962E1"/>
    <w:rsid w:val="00D966D7"/>
    <w:rsid w:val="00D96BD5"/>
    <w:rsid w:val="00DA0FF0"/>
    <w:rsid w:val="00DA1A76"/>
    <w:rsid w:val="00DA2714"/>
    <w:rsid w:val="00DA3F97"/>
    <w:rsid w:val="00DA5A9E"/>
    <w:rsid w:val="00DB4A08"/>
    <w:rsid w:val="00DB4AD4"/>
    <w:rsid w:val="00DD1755"/>
    <w:rsid w:val="00DD4C03"/>
    <w:rsid w:val="00DD6C41"/>
    <w:rsid w:val="00DE1991"/>
    <w:rsid w:val="00DE3E67"/>
    <w:rsid w:val="00DE5B98"/>
    <w:rsid w:val="00DE6CE0"/>
    <w:rsid w:val="00DE758B"/>
    <w:rsid w:val="00DF00D7"/>
    <w:rsid w:val="00DF0B48"/>
    <w:rsid w:val="00DF2259"/>
    <w:rsid w:val="00DF3092"/>
    <w:rsid w:val="00DF4E58"/>
    <w:rsid w:val="00DF6F05"/>
    <w:rsid w:val="00DF78E8"/>
    <w:rsid w:val="00E02EF6"/>
    <w:rsid w:val="00E0362F"/>
    <w:rsid w:val="00E03B97"/>
    <w:rsid w:val="00E05870"/>
    <w:rsid w:val="00E149A3"/>
    <w:rsid w:val="00E15760"/>
    <w:rsid w:val="00E16BC9"/>
    <w:rsid w:val="00E17506"/>
    <w:rsid w:val="00E236A4"/>
    <w:rsid w:val="00E25CEE"/>
    <w:rsid w:val="00E26282"/>
    <w:rsid w:val="00E273A1"/>
    <w:rsid w:val="00E27688"/>
    <w:rsid w:val="00E3448D"/>
    <w:rsid w:val="00E36DB4"/>
    <w:rsid w:val="00E405E0"/>
    <w:rsid w:val="00E4091D"/>
    <w:rsid w:val="00E41A31"/>
    <w:rsid w:val="00E47A3A"/>
    <w:rsid w:val="00E51455"/>
    <w:rsid w:val="00E516FF"/>
    <w:rsid w:val="00E52B9E"/>
    <w:rsid w:val="00E52F9B"/>
    <w:rsid w:val="00E5325D"/>
    <w:rsid w:val="00E53F29"/>
    <w:rsid w:val="00E55A89"/>
    <w:rsid w:val="00E60A3F"/>
    <w:rsid w:val="00E62FD4"/>
    <w:rsid w:val="00E637DB"/>
    <w:rsid w:val="00E639DB"/>
    <w:rsid w:val="00E6572D"/>
    <w:rsid w:val="00E713A8"/>
    <w:rsid w:val="00E71560"/>
    <w:rsid w:val="00E81BE8"/>
    <w:rsid w:val="00E81F3C"/>
    <w:rsid w:val="00E83469"/>
    <w:rsid w:val="00E902A3"/>
    <w:rsid w:val="00E9073E"/>
    <w:rsid w:val="00E91C58"/>
    <w:rsid w:val="00E97A58"/>
    <w:rsid w:val="00EA280E"/>
    <w:rsid w:val="00EA28A2"/>
    <w:rsid w:val="00EA36FD"/>
    <w:rsid w:val="00EA7C09"/>
    <w:rsid w:val="00EB71DD"/>
    <w:rsid w:val="00EB7479"/>
    <w:rsid w:val="00EB7EB2"/>
    <w:rsid w:val="00EC3C62"/>
    <w:rsid w:val="00EC5CC4"/>
    <w:rsid w:val="00EC7697"/>
    <w:rsid w:val="00EE34BB"/>
    <w:rsid w:val="00EE6C7F"/>
    <w:rsid w:val="00EF03A1"/>
    <w:rsid w:val="00EF353D"/>
    <w:rsid w:val="00EF7EBA"/>
    <w:rsid w:val="00F02FD8"/>
    <w:rsid w:val="00F0632D"/>
    <w:rsid w:val="00F06591"/>
    <w:rsid w:val="00F10922"/>
    <w:rsid w:val="00F1492C"/>
    <w:rsid w:val="00F17145"/>
    <w:rsid w:val="00F2370E"/>
    <w:rsid w:val="00F30388"/>
    <w:rsid w:val="00F32703"/>
    <w:rsid w:val="00F4078C"/>
    <w:rsid w:val="00F40CB5"/>
    <w:rsid w:val="00F4416F"/>
    <w:rsid w:val="00F449B8"/>
    <w:rsid w:val="00F44C9E"/>
    <w:rsid w:val="00F454F1"/>
    <w:rsid w:val="00F45844"/>
    <w:rsid w:val="00F45CD9"/>
    <w:rsid w:val="00F46BA8"/>
    <w:rsid w:val="00F51053"/>
    <w:rsid w:val="00F5639C"/>
    <w:rsid w:val="00F63DA9"/>
    <w:rsid w:val="00F6571D"/>
    <w:rsid w:val="00F71D43"/>
    <w:rsid w:val="00F7401A"/>
    <w:rsid w:val="00F76453"/>
    <w:rsid w:val="00F82B6D"/>
    <w:rsid w:val="00F82EDB"/>
    <w:rsid w:val="00F83C50"/>
    <w:rsid w:val="00F87843"/>
    <w:rsid w:val="00F9002E"/>
    <w:rsid w:val="00F92246"/>
    <w:rsid w:val="00F92794"/>
    <w:rsid w:val="00FA0B5E"/>
    <w:rsid w:val="00FA3027"/>
    <w:rsid w:val="00FA3E6A"/>
    <w:rsid w:val="00FA6641"/>
    <w:rsid w:val="00FA71FF"/>
    <w:rsid w:val="00FC1AF8"/>
    <w:rsid w:val="00FC2FE1"/>
    <w:rsid w:val="00FC33B4"/>
    <w:rsid w:val="00FC3F1E"/>
    <w:rsid w:val="00FC6F0D"/>
    <w:rsid w:val="00FD2744"/>
    <w:rsid w:val="00FD7859"/>
    <w:rsid w:val="00FE289B"/>
    <w:rsid w:val="00FE397F"/>
    <w:rsid w:val="00FE7748"/>
    <w:rsid w:val="00FF0F4B"/>
    <w:rsid w:val="00FF11CA"/>
    <w:rsid w:val="00FF2585"/>
    <w:rsid w:val="00FF3450"/>
    <w:rsid w:val="00FF47B8"/>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86D6A9"/>
  <w15:docId w15:val="{3B672783-DB15-4436-9BE9-F55603D8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6F05"/>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tabs>
        <w:tab w:val="clear" w:pos="1004"/>
        <w:tab w:val="num" w:pos="720"/>
      </w:tabs>
      <w:ind w:left="720"/>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character" w:styleId="CommentReference">
    <w:name w:val="annotation reference"/>
    <w:basedOn w:val="DefaultParagraphFont"/>
    <w:uiPriority w:val="99"/>
    <w:semiHidden/>
    <w:unhideWhenUsed/>
    <w:rsid w:val="009610A4"/>
    <w:rPr>
      <w:sz w:val="16"/>
      <w:szCs w:val="16"/>
    </w:rPr>
  </w:style>
  <w:style w:type="paragraph" w:styleId="CommentText">
    <w:name w:val="annotation text"/>
    <w:basedOn w:val="Normal"/>
    <w:link w:val="CommentTextChar"/>
    <w:uiPriority w:val="99"/>
    <w:semiHidden/>
    <w:unhideWhenUsed/>
    <w:rsid w:val="009610A4"/>
    <w:rPr>
      <w:szCs w:val="20"/>
    </w:rPr>
  </w:style>
  <w:style w:type="character" w:customStyle="1" w:styleId="CommentTextChar">
    <w:name w:val="Comment Text Char"/>
    <w:basedOn w:val="DefaultParagraphFont"/>
    <w:link w:val="CommentText"/>
    <w:uiPriority w:val="99"/>
    <w:semiHidden/>
    <w:rsid w:val="009610A4"/>
    <w:rPr>
      <w:rFonts w:ascii="Arial" w:hAnsi="Arial"/>
      <w:sz w:val="20"/>
      <w:szCs w:val="20"/>
    </w:rPr>
  </w:style>
  <w:style w:type="character" w:customStyle="1" w:styleId="st">
    <w:name w:val="st"/>
    <w:basedOn w:val="DefaultParagraphFont"/>
    <w:rsid w:val="006F3B89"/>
  </w:style>
  <w:style w:type="table" w:customStyle="1" w:styleId="TableGrid1">
    <w:name w:val="Table Grid1"/>
    <w:basedOn w:val="TableNormal"/>
    <w:next w:val="TableGrid"/>
    <w:uiPriority w:val="59"/>
    <w:rsid w:val="00BE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1FD"/>
    <w:pPr>
      <w:ind w:left="720"/>
      <w:contextualSpacing/>
    </w:pPr>
  </w:style>
  <w:style w:type="character" w:styleId="FollowedHyperlink">
    <w:name w:val="FollowedHyperlink"/>
    <w:basedOn w:val="DefaultParagraphFont"/>
    <w:uiPriority w:val="99"/>
    <w:semiHidden/>
    <w:unhideWhenUsed/>
    <w:rsid w:val="00FD2744"/>
    <w:rPr>
      <w:color w:val="800080" w:themeColor="followedHyperlink"/>
      <w:u w:val="single"/>
    </w:rPr>
  </w:style>
  <w:style w:type="character" w:styleId="PlaceholderText">
    <w:name w:val="Placeholder Text"/>
    <w:basedOn w:val="DefaultParagraphFont"/>
    <w:uiPriority w:val="99"/>
    <w:semiHidden/>
    <w:rsid w:val="009834EB"/>
    <w:rPr>
      <w:color w:val="808080"/>
    </w:rPr>
  </w:style>
  <w:style w:type="paragraph" w:styleId="CommentSubject">
    <w:name w:val="annotation subject"/>
    <w:basedOn w:val="CommentText"/>
    <w:next w:val="CommentText"/>
    <w:link w:val="CommentSubjectChar"/>
    <w:uiPriority w:val="99"/>
    <w:semiHidden/>
    <w:unhideWhenUsed/>
    <w:rsid w:val="00A7767B"/>
    <w:rPr>
      <w:b/>
      <w:bCs/>
    </w:rPr>
  </w:style>
  <w:style w:type="character" w:customStyle="1" w:styleId="CommentSubjectChar">
    <w:name w:val="Comment Subject Char"/>
    <w:basedOn w:val="CommentTextChar"/>
    <w:link w:val="CommentSubject"/>
    <w:uiPriority w:val="99"/>
    <w:semiHidden/>
    <w:rsid w:val="00A7767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3330">
      <w:bodyDiv w:val="1"/>
      <w:marLeft w:val="0"/>
      <w:marRight w:val="0"/>
      <w:marTop w:val="0"/>
      <w:marBottom w:val="0"/>
      <w:divBdr>
        <w:top w:val="none" w:sz="0" w:space="0" w:color="auto"/>
        <w:left w:val="none" w:sz="0" w:space="0" w:color="auto"/>
        <w:bottom w:val="none" w:sz="0" w:space="0" w:color="auto"/>
        <w:right w:val="none" w:sz="0" w:space="0" w:color="auto"/>
      </w:divBdr>
    </w:div>
    <w:div w:id="218633135">
      <w:bodyDiv w:val="1"/>
      <w:marLeft w:val="0"/>
      <w:marRight w:val="0"/>
      <w:marTop w:val="0"/>
      <w:marBottom w:val="0"/>
      <w:divBdr>
        <w:top w:val="none" w:sz="0" w:space="0" w:color="auto"/>
        <w:left w:val="none" w:sz="0" w:space="0" w:color="auto"/>
        <w:bottom w:val="none" w:sz="0" w:space="0" w:color="auto"/>
        <w:right w:val="none" w:sz="0" w:space="0" w:color="auto"/>
      </w:divBdr>
    </w:div>
    <w:div w:id="284628637">
      <w:bodyDiv w:val="1"/>
      <w:marLeft w:val="0"/>
      <w:marRight w:val="0"/>
      <w:marTop w:val="0"/>
      <w:marBottom w:val="0"/>
      <w:divBdr>
        <w:top w:val="none" w:sz="0" w:space="0" w:color="auto"/>
        <w:left w:val="none" w:sz="0" w:space="0" w:color="auto"/>
        <w:bottom w:val="none" w:sz="0" w:space="0" w:color="auto"/>
        <w:right w:val="none" w:sz="0" w:space="0" w:color="auto"/>
      </w:divBdr>
    </w:div>
    <w:div w:id="398555082">
      <w:bodyDiv w:val="1"/>
      <w:marLeft w:val="0"/>
      <w:marRight w:val="0"/>
      <w:marTop w:val="0"/>
      <w:marBottom w:val="0"/>
      <w:divBdr>
        <w:top w:val="none" w:sz="0" w:space="0" w:color="auto"/>
        <w:left w:val="none" w:sz="0" w:space="0" w:color="auto"/>
        <w:bottom w:val="none" w:sz="0" w:space="0" w:color="auto"/>
        <w:right w:val="none" w:sz="0" w:space="0" w:color="auto"/>
      </w:divBdr>
    </w:div>
    <w:div w:id="399595074">
      <w:bodyDiv w:val="1"/>
      <w:marLeft w:val="0"/>
      <w:marRight w:val="0"/>
      <w:marTop w:val="0"/>
      <w:marBottom w:val="0"/>
      <w:divBdr>
        <w:top w:val="none" w:sz="0" w:space="0" w:color="auto"/>
        <w:left w:val="none" w:sz="0" w:space="0" w:color="auto"/>
        <w:bottom w:val="none" w:sz="0" w:space="0" w:color="auto"/>
        <w:right w:val="none" w:sz="0" w:space="0" w:color="auto"/>
      </w:divBdr>
    </w:div>
    <w:div w:id="616719888">
      <w:bodyDiv w:val="1"/>
      <w:marLeft w:val="0"/>
      <w:marRight w:val="0"/>
      <w:marTop w:val="0"/>
      <w:marBottom w:val="0"/>
      <w:divBdr>
        <w:top w:val="none" w:sz="0" w:space="0" w:color="auto"/>
        <w:left w:val="none" w:sz="0" w:space="0" w:color="auto"/>
        <w:bottom w:val="none" w:sz="0" w:space="0" w:color="auto"/>
        <w:right w:val="none" w:sz="0" w:space="0" w:color="auto"/>
      </w:divBdr>
    </w:div>
    <w:div w:id="1127623925">
      <w:bodyDiv w:val="1"/>
      <w:marLeft w:val="0"/>
      <w:marRight w:val="0"/>
      <w:marTop w:val="0"/>
      <w:marBottom w:val="0"/>
      <w:divBdr>
        <w:top w:val="none" w:sz="0" w:space="0" w:color="auto"/>
        <w:left w:val="none" w:sz="0" w:space="0" w:color="auto"/>
        <w:bottom w:val="none" w:sz="0" w:space="0" w:color="auto"/>
        <w:right w:val="none" w:sz="0" w:space="0" w:color="auto"/>
      </w:divBdr>
    </w:div>
    <w:div w:id="1803033690">
      <w:bodyDiv w:val="1"/>
      <w:marLeft w:val="0"/>
      <w:marRight w:val="0"/>
      <w:marTop w:val="0"/>
      <w:marBottom w:val="0"/>
      <w:divBdr>
        <w:top w:val="none" w:sz="0" w:space="0" w:color="auto"/>
        <w:left w:val="none" w:sz="0" w:space="0" w:color="auto"/>
        <w:bottom w:val="none" w:sz="0" w:space="0" w:color="auto"/>
        <w:right w:val="none" w:sz="0" w:space="0" w:color="auto"/>
      </w:divBdr>
    </w:div>
    <w:div w:id="2005663887">
      <w:bodyDiv w:val="1"/>
      <w:marLeft w:val="0"/>
      <w:marRight w:val="0"/>
      <w:marTop w:val="0"/>
      <w:marBottom w:val="0"/>
      <w:divBdr>
        <w:top w:val="none" w:sz="0" w:space="0" w:color="auto"/>
        <w:left w:val="none" w:sz="0" w:space="0" w:color="auto"/>
        <w:bottom w:val="none" w:sz="0" w:space="0" w:color="auto"/>
        <w:right w:val="none" w:sz="0" w:space="0" w:color="auto"/>
      </w:divBdr>
    </w:div>
    <w:div w:id="21209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ook@p-r-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kins@p-r-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nixon@p-r-i.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nesbitt@p-r-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D5661E4319347B79C98C20EBF82BB" ma:contentTypeVersion="0" ma:contentTypeDescription="Create a new document." ma:contentTypeScope="" ma:versionID="26a49a964cc113e37bf0f777539f472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05A1-FA5E-40A0-A86F-B87A47B9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0DA866-2F5C-4CAF-952E-F5D160D0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6001</Words>
  <Characters>34210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CP Minutes WC Version</vt:lpstr>
    </vt:vector>
  </TitlesOfParts>
  <Company>SAE International</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Minutes WC Version</dc:title>
  <dc:creator>Nigel Cook</dc:creator>
  <cp:keywords>Non Technical</cp:keywords>
  <cp:lastModifiedBy>Kellie O'connor</cp:lastModifiedBy>
  <cp:revision>4</cp:revision>
  <cp:lastPrinted>2016-06-16T11:24:00Z</cp:lastPrinted>
  <dcterms:created xsi:type="dcterms:W3CDTF">2016-06-30T16:43:00Z</dcterms:created>
  <dcterms:modified xsi:type="dcterms:W3CDTF">2016-07-14T14:28:00Z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0x0101008B6D5661E4319347B79C98C20EBF82BB</vt:lpwstr>
  </property>
  <property fmtid="{D5CDD505-2E9C-101B-9397-08002B2CF9AE}" pid="3" name="TitusGUID">
    <vt:lpwstr>112eb1b1-63ee-44fd-8cdd-eb8dd686ec85</vt:lpwstr>
  </property>
  <property fmtid="{D5CDD505-2E9C-101B-9397-08002B2CF9AE}" pid="4" name="UTCTechnicalData">
    <vt:lpwstr>No</vt:lpwstr>
  </property>
  <property fmtid="{D5CDD505-2E9C-101B-9397-08002B2CF9AE}" pid="5" name="UTCTechnicalDataKeyword">
    <vt:lpwstr>Non Technical</vt:lpwstr>
  </property>
</Properties>
</file>