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B5E" w:rsidRPr="00FC3F1E" w:rsidRDefault="00FA0B5E" w:rsidP="00FC3F1E">
      <w:pPr>
        <w:spacing w:after="0"/>
        <w:jc w:val="center"/>
        <w:rPr>
          <w:b/>
        </w:rPr>
      </w:pPr>
      <w:r w:rsidRPr="00FC3F1E">
        <w:rPr>
          <w:b/>
        </w:rPr>
        <w:t>UNCONFIRMED MINUTES</w:t>
      </w:r>
    </w:p>
    <w:p w:rsidR="00FA0B5E" w:rsidRPr="00FC3F1E" w:rsidRDefault="000C06B0" w:rsidP="00FC3F1E">
      <w:pPr>
        <w:spacing w:after="0"/>
        <w:jc w:val="center"/>
        <w:rPr>
          <w:b/>
        </w:rPr>
      </w:pPr>
      <w:r>
        <w:rPr>
          <w:b/>
        </w:rPr>
        <w:t>FEBRUARY 21</w:t>
      </w:r>
      <w:r w:rsidR="007F7E08">
        <w:rPr>
          <w:b/>
        </w:rPr>
        <w:t>-</w:t>
      </w:r>
      <w:r>
        <w:rPr>
          <w:b/>
        </w:rPr>
        <w:t>23</w:t>
      </w:r>
      <w:r w:rsidR="00FA0B5E" w:rsidRPr="00FC3F1E">
        <w:rPr>
          <w:b/>
        </w:rPr>
        <w:t xml:space="preserve">, </w:t>
      </w:r>
      <w:r>
        <w:rPr>
          <w:b/>
        </w:rPr>
        <w:t>2017</w:t>
      </w:r>
    </w:p>
    <w:p w:rsidR="00FA0B5E" w:rsidRPr="00FC3F1E" w:rsidRDefault="000C06B0" w:rsidP="007F7E08">
      <w:pPr>
        <w:jc w:val="center"/>
        <w:rPr>
          <w:b/>
        </w:rPr>
      </w:pPr>
      <w:r>
        <w:rPr>
          <w:b/>
        </w:rPr>
        <w:t>NEW ORLEANS, LOUISIANA, USA</w:t>
      </w:r>
    </w:p>
    <w:p w:rsidR="00FA0B5E" w:rsidRPr="00FC3F1E" w:rsidRDefault="00FA0B5E" w:rsidP="00FA0B5E">
      <w:pPr>
        <w:rPr>
          <w:b/>
        </w:rPr>
      </w:pPr>
      <w:r w:rsidRPr="00FC3F1E">
        <w:rPr>
          <w:b/>
        </w:rPr>
        <w:t>These minutes are not final until confirmed by the Task Group in writing or by vote at a subsequent meeting. Information herein does not constitute a communication or recommendation from the Task Group and shall not be considered as such by any agency.</w:t>
      </w:r>
    </w:p>
    <w:p w:rsidR="00FA0B5E" w:rsidRPr="00FC3F1E" w:rsidRDefault="00525433" w:rsidP="00FA0B5E">
      <w:pPr>
        <w:rPr>
          <w:b/>
          <w:u w:val="single"/>
        </w:rPr>
      </w:pPr>
      <w:r>
        <w:rPr>
          <w:b/>
          <w:u w:val="single"/>
        </w:rPr>
        <w:t>TUESDAY, 21-FEB-</w:t>
      </w:r>
      <w:r w:rsidR="00806A51">
        <w:rPr>
          <w:b/>
          <w:u w:val="single"/>
        </w:rPr>
        <w:t>20</w:t>
      </w:r>
      <w:r>
        <w:rPr>
          <w:b/>
          <w:u w:val="single"/>
        </w:rPr>
        <w:t>17</w:t>
      </w:r>
      <w:r w:rsidR="00806A51">
        <w:rPr>
          <w:b/>
          <w:u w:val="single"/>
        </w:rPr>
        <w:t xml:space="preserve"> to THURSDAY, 23-FEB-2017</w:t>
      </w:r>
    </w:p>
    <w:p w:rsidR="00FA0B5E" w:rsidRDefault="00FA0B5E" w:rsidP="00FA0B5E">
      <w:pPr>
        <w:pStyle w:val="Heading1"/>
      </w:pPr>
      <w:r>
        <w:t>OPENING COMMENTS</w:t>
      </w:r>
    </w:p>
    <w:p w:rsidR="00525433" w:rsidRDefault="00525433" w:rsidP="00525433">
      <w:pPr>
        <w:pStyle w:val="Heading2"/>
      </w:pPr>
      <w:r>
        <w:t>Call to Order / Quorum Check</w:t>
      </w:r>
    </w:p>
    <w:p w:rsidR="00525433" w:rsidRDefault="00525433" w:rsidP="00525433">
      <w:pPr>
        <w:pStyle w:val="Body"/>
      </w:pPr>
      <w:r>
        <w:t>The Conventional Machining as a Special Process (CMSP) Task Group (TG) was called to order by Chairperson</w:t>
      </w:r>
      <w:r w:rsidRPr="00377712">
        <w:t xml:space="preserve"> Chuck </w:t>
      </w:r>
      <w:proofErr w:type="spellStart"/>
      <w:r w:rsidRPr="00377712">
        <w:t>Beargie</w:t>
      </w:r>
      <w:proofErr w:type="spellEnd"/>
      <w:r w:rsidRPr="00377712">
        <w:t xml:space="preserve"> </w:t>
      </w:r>
      <w:r>
        <w:t>at 08:0</w:t>
      </w:r>
      <w:r w:rsidR="00F65A17">
        <w:t>3</w:t>
      </w:r>
      <w:r>
        <w:t xml:space="preserve"> a.m., 21-Feb-2017.</w:t>
      </w:r>
    </w:p>
    <w:p w:rsidR="00525433" w:rsidRDefault="00525433" w:rsidP="00525433">
      <w:pPr>
        <w:pStyle w:val="Body"/>
      </w:pPr>
      <w:r>
        <w:t>It was verified that only SUBSCRIBER MEMBERS were in attendance during the closed portion of the meeting.</w:t>
      </w:r>
    </w:p>
    <w:p w:rsidR="00525433" w:rsidRDefault="00525433" w:rsidP="00525433">
      <w:pPr>
        <w:pStyle w:val="Body"/>
      </w:pPr>
      <w:r>
        <w:t>A quorum was established with the following representatives in attendance:</w:t>
      </w:r>
    </w:p>
    <w:p w:rsidR="00FA0B5E" w:rsidRPr="00272E48" w:rsidRDefault="00FA0B5E" w:rsidP="00272E48">
      <w:pPr>
        <w:pStyle w:val="Body"/>
        <w:keepNext/>
        <w:rPr>
          <w:b/>
          <w:i/>
          <w:u w:val="single"/>
        </w:rPr>
      </w:pPr>
      <w:r w:rsidRPr="00272E48">
        <w:rPr>
          <w:b/>
          <w:i/>
          <w:u w:val="single"/>
        </w:rPr>
        <w:t>Subscriber Members/Participants Present (* Indicates Voting Member)</w:t>
      </w:r>
    </w:p>
    <w:tbl>
      <w:tblPr>
        <w:tblStyle w:val="TableGrid"/>
        <w:tblW w:w="10303" w:type="dxa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1548"/>
        <w:gridCol w:w="1620"/>
        <w:gridCol w:w="4680"/>
        <w:gridCol w:w="2160"/>
      </w:tblGrid>
      <w:tr w:rsidR="00E51455" w:rsidRPr="00FA0B5E" w:rsidTr="00FB6F9E">
        <w:trPr>
          <w:trHeight w:val="315"/>
        </w:trPr>
        <w:tc>
          <w:tcPr>
            <w:tcW w:w="295" w:type="dxa"/>
          </w:tcPr>
          <w:p w:rsidR="00FA0B5E" w:rsidRPr="00FA0B5E" w:rsidRDefault="00FA0B5E" w:rsidP="00FA0B5E">
            <w:pPr>
              <w:pStyle w:val="Names"/>
            </w:pPr>
          </w:p>
        </w:tc>
        <w:tc>
          <w:tcPr>
            <w:tcW w:w="1548" w:type="dxa"/>
          </w:tcPr>
          <w:p w:rsidR="00FA0B5E" w:rsidRPr="00FA0B5E" w:rsidRDefault="00FA0B5E" w:rsidP="00FA0B5E">
            <w:pPr>
              <w:pStyle w:val="Names"/>
            </w:pPr>
            <w:r w:rsidRPr="00FA0B5E">
              <w:t>NAME</w:t>
            </w:r>
          </w:p>
        </w:tc>
        <w:tc>
          <w:tcPr>
            <w:tcW w:w="1620" w:type="dxa"/>
          </w:tcPr>
          <w:p w:rsidR="00FA0B5E" w:rsidRPr="00FA0B5E" w:rsidRDefault="00FA0B5E" w:rsidP="00FA0B5E">
            <w:pPr>
              <w:pStyle w:val="Names"/>
            </w:pPr>
          </w:p>
        </w:tc>
        <w:tc>
          <w:tcPr>
            <w:tcW w:w="4680" w:type="dxa"/>
          </w:tcPr>
          <w:p w:rsidR="00FA0B5E" w:rsidRPr="00FA0B5E" w:rsidRDefault="00FA0B5E" w:rsidP="00FA0B5E">
            <w:pPr>
              <w:pStyle w:val="Names"/>
            </w:pPr>
            <w:r w:rsidRPr="00FA0B5E">
              <w:t>COMPANY NAME</w:t>
            </w:r>
          </w:p>
        </w:tc>
        <w:tc>
          <w:tcPr>
            <w:tcW w:w="2160" w:type="dxa"/>
          </w:tcPr>
          <w:p w:rsidR="00FA0B5E" w:rsidRPr="00FA0B5E" w:rsidRDefault="00FA0B5E" w:rsidP="00FA0B5E">
            <w:pPr>
              <w:pStyle w:val="Names"/>
            </w:pPr>
          </w:p>
        </w:tc>
      </w:tr>
      <w:tr w:rsidR="00E93470" w:rsidRPr="00FA0B5E" w:rsidTr="00FB6F9E">
        <w:tc>
          <w:tcPr>
            <w:tcW w:w="295" w:type="dxa"/>
          </w:tcPr>
          <w:p w:rsidR="00E93470" w:rsidRPr="00FA0B5E" w:rsidRDefault="00E93470" w:rsidP="00E93470">
            <w:pPr>
              <w:pStyle w:val="Names"/>
            </w:pPr>
            <w:r>
              <w:t>*</w:t>
            </w:r>
          </w:p>
        </w:tc>
        <w:tc>
          <w:tcPr>
            <w:tcW w:w="1548" w:type="dxa"/>
            <w:vAlign w:val="center"/>
          </w:tcPr>
          <w:p w:rsidR="00E93470" w:rsidRPr="00FA0B5E" w:rsidRDefault="00E93470" w:rsidP="00E93470">
            <w:pPr>
              <w:pStyle w:val="Names"/>
            </w:pPr>
            <w:r>
              <w:rPr>
                <w:rFonts w:cs="Arial"/>
                <w:color w:val="000000"/>
                <w:szCs w:val="20"/>
              </w:rPr>
              <w:t>Ken</w:t>
            </w:r>
          </w:p>
        </w:tc>
        <w:tc>
          <w:tcPr>
            <w:tcW w:w="1620" w:type="dxa"/>
            <w:vAlign w:val="center"/>
          </w:tcPr>
          <w:p w:rsidR="00E93470" w:rsidRPr="00FA0B5E" w:rsidRDefault="00E93470" w:rsidP="00E93470">
            <w:pPr>
              <w:pStyle w:val="Names"/>
            </w:pPr>
            <w:r>
              <w:rPr>
                <w:rFonts w:cs="Arial"/>
                <w:color w:val="000000"/>
                <w:szCs w:val="20"/>
              </w:rPr>
              <w:t>Abram</w:t>
            </w:r>
          </w:p>
        </w:tc>
        <w:tc>
          <w:tcPr>
            <w:tcW w:w="4680" w:type="dxa"/>
            <w:vAlign w:val="center"/>
          </w:tcPr>
          <w:p w:rsidR="00E93470" w:rsidRPr="00FA0B5E" w:rsidRDefault="00E93470" w:rsidP="00E93470">
            <w:pPr>
              <w:pStyle w:val="Names"/>
            </w:pPr>
            <w:r>
              <w:rPr>
                <w:rFonts w:cs="Arial"/>
                <w:color w:val="000000"/>
                <w:szCs w:val="20"/>
              </w:rPr>
              <w:t>Honeywell Aerospace</w:t>
            </w:r>
          </w:p>
        </w:tc>
        <w:tc>
          <w:tcPr>
            <w:tcW w:w="2160" w:type="dxa"/>
          </w:tcPr>
          <w:p w:rsidR="00E93470" w:rsidRPr="00FA0B5E" w:rsidRDefault="00E93470" w:rsidP="00E93470">
            <w:pPr>
              <w:pStyle w:val="Names"/>
            </w:pPr>
          </w:p>
        </w:tc>
      </w:tr>
      <w:tr w:rsidR="00E93470" w:rsidRPr="00FA0B5E" w:rsidTr="00FB6F9E">
        <w:tc>
          <w:tcPr>
            <w:tcW w:w="295" w:type="dxa"/>
          </w:tcPr>
          <w:p w:rsidR="00E93470" w:rsidRPr="00FA0B5E" w:rsidRDefault="00E93470" w:rsidP="00E93470">
            <w:pPr>
              <w:pStyle w:val="Names"/>
            </w:pPr>
            <w:r>
              <w:t>*</w:t>
            </w:r>
          </w:p>
        </w:tc>
        <w:tc>
          <w:tcPr>
            <w:tcW w:w="1548" w:type="dxa"/>
            <w:vAlign w:val="center"/>
          </w:tcPr>
          <w:p w:rsidR="00E93470" w:rsidRPr="00FA0B5E" w:rsidRDefault="00E93470" w:rsidP="00E93470">
            <w:pPr>
              <w:pStyle w:val="Names"/>
            </w:pPr>
            <w:r>
              <w:rPr>
                <w:rFonts w:cs="Arial"/>
                <w:color w:val="000000"/>
                <w:szCs w:val="20"/>
              </w:rPr>
              <w:t>Chuck</w:t>
            </w:r>
          </w:p>
        </w:tc>
        <w:tc>
          <w:tcPr>
            <w:tcW w:w="1620" w:type="dxa"/>
            <w:vAlign w:val="center"/>
          </w:tcPr>
          <w:p w:rsidR="00E93470" w:rsidRPr="00FA0B5E" w:rsidRDefault="00E93470" w:rsidP="00E93470">
            <w:pPr>
              <w:pStyle w:val="Names"/>
            </w:pPr>
            <w:proofErr w:type="spellStart"/>
            <w:r>
              <w:rPr>
                <w:rFonts w:cs="Arial"/>
                <w:color w:val="000000"/>
                <w:szCs w:val="20"/>
              </w:rPr>
              <w:t>Beargie</w:t>
            </w:r>
            <w:proofErr w:type="spellEnd"/>
          </w:p>
        </w:tc>
        <w:tc>
          <w:tcPr>
            <w:tcW w:w="4680" w:type="dxa"/>
            <w:vAlign w:val="center"/>
          </w:tcPr>
          <w:p w:rsidR="00E93470" w:rsidRPr="00FA0B5E" w:rsidRDefault="00E93470" w:rsidP="00E93470">
            <w:pPr>
              <w:pStyle w:val="Names"/>
            </w:pPr>
            <w:r>
              <w:rPr>
                <w:rFonts w:cs="Arial"/>
                <w:color w:val="000000"/>
                <w:szCs w:val="20"/>
              </w:rPr>
              <w:t>UTC Aerospace (Goodrich)</w:t>
            </w:r>
          </w:p>
        </w:tc>
        <w:tc>
          <w:tcPr>
            <w:tcW w:w="2160" w:type="dxa"/>
          </w:tcPr>
          <w:p w:rsidR="00E93470" w:rsidRPr="00FA0B5E" w:rsidRDefault="00E93470" w:rsidP="00E93470">
            <w:pPr>
              <w:pStyle w:val="Names"/>
            </w:pPr>
            <w:r>
              <w:t>Chairperson</w:t>
            </w:r>
          </w:p>
        </w:tc>
      </w:tr>
      <w:tr w:rsidR="00E93470" w:rsidRPr="00FA0B5E" w:rsidTr="00FB6F9E">
        <w:tc>
          <w:tcPr>
            <w:tcW w:w="295" w:type="dxa"/>
          </w:tcPr>
          <w:p w:rsidR="00E93470" w:rsidRPr="00FA0B5E" w:rsidRDefault="00E93470" w:rsidP="00E93470">
            <w:pPr>
              <w:pStyle w:val="Names"/>
            </w:pPr>
          </w:p>
        </w:tc>
        <w:tc>
          <w:tcPr>
            <w:tcW w:w="1548" w:type="dxa"/>
            <w:vAlign w:val="center"/>
          </w:tcPr>
          <w:p w:rsidR="00E93470" w:rsidRPr="00FA0B5E" w:rsidRDefault="00E93470" w:rsidP="00E93470">
            <w:pPr>
              <w:pStyle w:val="Names"/>
            </w:pPr>
            <w:r>
              <w:rPr>
                <w:rFonts w:cs="Arial"/>
                <w:color w:val="000000"/>
                <w:szCs w:val="20"/>
              </w:rPr>
              <w:t>David</w:t>
            </w:r>
          </w:p>
        </w:tc>
        <w:tc>
          <w:tcPr>
            <w:tcW w:w="1620" w:type="dxa"/>
            <w:vAlign w:val="center"/>
          </w:tcPr>
          <w:p w:rsidR="00E93470" w:rsidRPr="00FA0B5E" w:rsidRDefault="00E93470" w:rsidP="00E93470">
            <w:pPr>
              <w:pStyle w:val="Names"/>
            </w:pPr>
            <w:r>
              <w:rPr>
                <w:rFonts w:cs="Arial"/>
                <w:color w:val="000000"/>
                <w:szCs w:val="20"/>
              </w:rPr>
              <w:t>Day</w:t>
            </w:r>
          </w:p>
        </w:tc>
        <w:tc>
          <w:tcPr>
            <w:tcW w:w="4680" w:type="dxa"/>
            <w:vAlign w:val="center"/>
          </w:tcPr>
          <w:p w:rsidR="00E93470" w:rsidRPr="00FA0B5E" w:rsidRDefault="00E93470" w:rsidP="00E93470">
            <w:pPr>
              <w:pStyle w:val="Names"/>
            </w:pPr>
            <w:r>
              <w:rPr>
                <w:rFonts w:cs="Arial"/>
                <w:color w:val="000000"/>
                <w:szCs w:val="20"/>
              </w:rPr>
              <w:t>GE Aviation</w:t>
            </w:r>
          </w:p>
        </w:tc>
        <w:tc>
          <w:tcPr>
            <w:tcW w:w="2160" w:type="dxa"/>
          </w:tcPr>
          <w:p w:rsidR="00E93470" w:rsidRPr="00FA0B5E" w:rsidRDefault="00E93470" w:rsidP="00E93470">
            <w:pPr>
              <w:pStyle w:val="Names"/>
            </w:pPr>
          </w:p>
        </w:tc>
      </w:tr>
      <w:tr w:rsidR="00E93470" w:rsidRPr="00FA0B5E" w:rsidTr="00FB6F9E">
        <w:tc>
          <w:tcPr>
            <w:tcW w:w="295" w:type="dxa"/>
          </w:tcPr>
          <w:p w:rsidR="00E93470" w:rsidRPr="00FA0B5E" w:rsidRDefault="00E93470" w:rsidP="00E93470">
            <w:pPr>
              <w:pStyle w:val="Names"/>
            </w:pPr>
          </w:p>
        </w:tc>
        <w:tc>
          <w:tcPr>
            <w:tcW w:w="1548" w:type="dxa"/>
            <w:vAlign w:val="center"/>
          </w:tcPr>
          <w:p w:rsidR="00E93470" w:rsidRPr="00FA0B5E" w:rsidRDefault="00E93470" w:rsidP="00E93470">
            <w:pPr>
              <w:pStyle w:val="Names"/>
            </w:pPr>
            <w:r>
              <w:rPr>
                <w:rFonts w:cs="Arial"/>
                <w:color w:val="000000"/>
                <w:szCs w:val="20"/>
              </w:rPr>
              <w:t>Lennart</w:t>
            </w:r>
          </w:p>
        </w:tc>
        <w:tc>
          <w:tcPr>
            <w:tcW w:w="1620" w:type="dxa"/>
            <w:vAlign w:val="center"/>
          </w:tcPr>
          <w:p w:rsidR="00E93470" w:rsidRPr="00FA0B5E" w:rsidRDefault="00E93470" w:rsidP="00E93470">
            <w:pPr>
              <w:pStyle w:val="Names"/>
            </w:pPr>
            <w:proofErr w:type="spellStart"/>
            <w:r>
              <w:rPr>
                <w:rFonts w:cs="Arial"/>
                <w:color w:val="000000"/>
                <w:szCs w:val="20"/>
              </w:rPr>
              <w:t>Klason</w:t>
            </w:r>
            <w:proofErr w:type="spellEnd"/>
          </w:p>
        </w:tc>
        <w:tc>
          <w:tcPr>
            <w:tcW w:w="4680" w:type="dxa"/>
            <w:vAlign w:val="center"/>
          </w:tcPr>
          <w:p w:rsidR="00E93470" w:rsidRPr="00FA0B5E" w:rsidRDefault="00E93470" w:rsidP="00E93470">
            <w:pPr>
              <w:pStyle w:val="Names"/>
            </w:pPr>
            <w:r>
              <w:rPr>
                <w:rFonts w:cs="Arial"/>
                <w:color w:val="000000"/>
                <w:szCs w:val="20"/>
              </w:rPr>
              <w:t>GKN Aerospace Sweden AB</w:t>
            </w:r>
          </w:p>
        </w:tc>
        <w:tc>
          <w:tcPr>
            <w:tcW w:w="2160" w:type="dxa"/>
          </w:tcPr>
          <w:p w:rsidR="00E93470" w:rsidRPr="00FA0B5E" w:rsidRDefault="00E93470" w:rsidP="00E93470">
            <w:pPr>
              <w:pStyle w:val="Names"/>
            </w:pPr>
          </w:p>
        </w:tc>
      </w:tr>
      <w:tr w:rsidR="00EC63C2" w:rsidRPr="00FA0B5E" w:rsidTr="00FB6F9E">
        <w:tc>
          <w:tcPr>
            <w:tcW w:w="295" w:type="dxa"/>
          </w:tcPr>
          <w:p w:rsidR="00EC63C2" w:rsidRDefault="00EC63C2" w:rsidP="00E93470">
            <w:pPr>
              <w:pStyle w:val="Names"/>
            </w:pPr>
          </w:p>
        </w:tc>
        <w:tc>
          <w:tcPr>
            <w:tcW w:w="1548" w:type="dxa"/>
            <w:vAlign w:val="center"/>
          </w:tcPr>
          <w:p w:rsidR="00EC63C2" w:rsidRDefault="00EC63C2" w:rsidP="00E93470">
            <w:pPr>
              <w:pStyle w:val="Names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Serge</w:t>
            </w:r>
          </w:p>
        </w:tc>
        <w:tc>
          <w:tcPr>
            <w:tcW w:w="1620" w:type="dxa"/>
            <w:vAlign w:val="center"/>
          </w:tcPr>
          <w:p w:rsidR="00EC63C2" w:rsidRDefault="00EC63C2" w:rsidP="00E93470">
            <w:pPr>
              <w:pStyle w:val="Names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Labb</w:t>
            </w:r>
            <w:r w:rsidR="001D4C91">
              <w:rPr>
                <w:rFonts w:cs="Arial"/>
                <w:color w:val="000000"/>
                <w:szCs w:val="20"/>
              </w:rPr>
              <w:t>é</w:t>
            </w:r>
            <w:proofErr w:type="spellEnd"/>
          </w:p>
        </w:tc>
        <w:tc>
          <w:tcPr>
            <w:tcW w:w="4680" w:type="dxa"/>
            <w:vAlign w:val="center"/>
          </w:tcPr>
          <w:p w:rsidR="00EC63C2" w:rsidRDefault="00EC63C2" w:rsidP="00E93470">
            <w:pPr>
              <w:pStyle w:val="Names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Héroux-Devtek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Inc.</w:t>
            </w:r>
          </w:p>
        </w:tc>
        <w:tc>
          <w:tcPr>
            <w:tcW w:w="2160" w:type="dxa"/>
          </w:tcPr>
          <w:p w:rsidR="00EC63C2" w:rsidRPr="00FA0B5E" w:rsidRDefault="00EC63C2" w:rsidP="00E93470">
            <w:pPr>
              <w:pStyle w:val="Names"/>
            </w:pPr>
          </w:p>
        </w:tc>
      </w:tr>
      <w:tr w:rsidR="00E93470" w:rsidRPr="00FA0B5E" w:rsidTr="00FB6F9E">
        <w:tc>
          <w:tcPr>
            <w:tcW w:w="295" w:type="dxa"/>
          </w:tcPr>
          <w:p w:rsidR="00E93470" w:rsidRPr="00FA0B5E" w:rsidRDefault="00E93470" w:rsidP="00E93470">
            <w:pPr>
              <w:pStyle w:val="Names"/>
            </w:pPr>
            <w:r>
              <w:t>*</w:t>
            </w:r>
          </w:p>
        </w:tc>
        <w:tc>
          <w:tcPr>
            <w:tcW w:w="1548" w:type="dxa"/>
            <w:vAlign w:val="center"/>
          </w:tcPr>
          <w:p w:rsidR="00E93470" w:rsidRPr="00FA0B5E" w:rsidRDefault="00E93470" w:rsidP="00E93470">
            <w:pPr>
              <w:pStyle w:val="Names"/>
            </w:pPr>
            <w:r>
              <w:rPr>
                <w:rFonts w:cs="Arial"/>
                <w:color w:val="000000"/>
                <w:szCs w:val="20"/>
              </w:rPr>
              <w:t>Marc-André</w:t>
            </w:r>
          </w:p>
        </w:tc>
        <w:tc>
          <w:tcPr>
            <w:tcW w:w="1620" w:type="dxa"/>
            <w:vAlign w:val="center"/>
          </w:tcPr>
          <w:p w:rsidR="00E93470" w:rsidRPr="00FA0B5E" w:rsidRDefault="00E93470" w:rsidP="00E93470">
            <w:pPr>
              <w:pStyle w:val="Names"/>
            </w:pPr>
            <w:r>
              <w:rPr>
                <w:rFonts w:cs="Arial"/>
                <w:color w:val="000000"/>
                <w:szCs w:val="20"/>
              </w:rPr>
              <w:t>Lefebvre</w:t>
            </w:r>
          </w:p>
        </w:tc>
        <w:tc>
          <w:tcPr>
            <w:tcW w:w="4680" w:type="dxa"/>
            <w:vAlign w:val="center"/>
          </w:tcPr>
          <w:p w:rsidR="00E93470" w:rsidRPr="00FA0B5E" w:rsidRDefault="00E93470" w:rsidP="00E93470">
            <w:pPr>
              <w:pStyle w:val="Names"/>
            </w:pPr>
            <w:proofErr w:type="spellStart"/>
            <w:r>
              <w:rPr>
                <w:rFonts w:cs="Arial"/>
                <w:color w:val="000000"/>
                <w:szCs w:val="20"/>
              </w:rPr>
              <w:t>Héroux-Devtek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Inc.</w:t>
            </w:r>
          </w:p>
        </w:tc>
        <w:tc>
          <w:tcPr>
            <w:tcW w:w="2160" w:type="dxa"/>
          </w:tcPr>
          <w:p w:rsidR="00E93470" w:rsidRPr="00FA0B5E" w:rsidRDefault="00E93470" w:rsidP="00E93470">
            <w:pPr>
              <w:pStyle w:val="Names"/>
            </w:pPr>
          </w:p>
        </w:tc>
      </w:tr>
      <w:tr w:rsidR="00EC63C2" w:rsidRPr="00FA0B5E" w:rsidTr="00FB6F9E">
        <w:tc>
          <w:tcPr>
            <w:tcW w:w="295" w:type="dxa"/>
          </w:tcPr>
          <w:p w:rsidR="00EC63C2" w:rsidRDefault="00EC63C2" w:rsidP="00E93470">
            <w:pPr>
              <w:pStyle w:val="Names"/>
            </w:pPr>
          </w:p>
        </w:tc>
        <w:tc>
          <w:tcPr>
            <w:tcW w:w="1548" w:type="dxa"/>
            <w:vAlign w:val="center"/>
          </w:tcPr>
          <w:p w:rsidR="00EC63C2" w:rsidRDefault="00EC63C2" w:rsidP="00E93470">
            <w:pPr>
              <w:pStyle w:val="Names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Andrew</w:t>
            </w:r>
          </w:p>
        </w:tc>
        <w:tc>
          <w:tcPr>
            <w:tcW w:w="1620" w:type="dxa"/>
            <w:vAlign w:val="center"/>
          </w:tcPr>
          <w:p w:rsidR="00EC63C2" w:rsidRDefault="00EC63C2" w:rsidP="00E93470">
            <w:pPr>
              <w:pStyle w:val="Names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Leslie</w:t>
            </w:r>
          </w:p>
        </w:tc>
        <w:tc>
          <w:tcPr>
            <w:tcW w:w="4680" w:type="dxa"/>
            <w:vAlign w:val="center"/>
          </w:tcPr>
          <w:p w:rsidR="00EC63C2" w:rsidRDefault="00EC63C2" w:rsidP="00E93470">
            <w:pPr>
              <w:pStyle w:val="Names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BAE Systems</w:t>
            </w:r>
          </w:p>
        </w:tc>
        <w:tc>
          <w:tcPr>
            <w:tcW w:w="2160" w:type="dxa"/>
          </w:tcPr>
          <w:p w:rsidR="00EC63C2" w:rsidRDefault="00EC63C2" w:rsidP="00E93470">
            <w:pPr>
              <w:pStyle w:val="Names"/>
            </w:pPr>
          </w:p>
        </w:tc>
      </w:tr>
      <w:tr w:rsidR="00E93470" w:rsidRPr="00FA0B5E" w:rsidTr="00FB6F9E">
        <w:tc>
          <w:tcPr>
            <w:tcW w:w="295" w:type="dxa"/>
          </w:tcPr>
          <w:p w:rsidR="00E93470" w:rsidRPr="00FA0B5E" w:rsidRDefault="00E93470" w:rsidP="00E93470">
            <w:pPr>
              <w:pStyle w:val="Names"/>
            </w:pPr>
            <w:r>
              <w:t>*</w:t>
            </w:r>
          </w:p>
        </w:tc>
        <w:tc>
          <w:tcPr>
            <w:tcW w:w="1548" w:type="dxa"/>
            <w:vAlign w:val="center"/>
          </w:tcPr>
          <w:p w:rsidR="00E93470" w:rsidRPr="00FA0B5E" w:rsidRDefault="00E93470" w:rsidP="00E93470">
            <w:pPr>
              <w:pStyle w:val="Names"/>
            </w:pPr>
            <w:r>
              <w:rPr>
                <w:rFonts w:cs="Arial"/>
                <w:color w:val="000000"/>
                <w:szCs w:val="20"/>
              </w:rPr>
              <w:t>John</w:t>
            </w:r>
          </w:p>
        </w:tc>
        <w:tc>
          <w:tcPr>
            <w:tcW w:w="1620" w:type="dxa"/>
            <w:vAlign w:val="center"/>
          </w:tcPr>
          <w:p w:rsidR="00E93470" w:rsidRPr="00FA0B5E" w:rsidRDefault="00E93470" w:rsidP="00E93470">
            <w:pPr>
              <w:pStyle w:val="Names"/>
            </w:pPr>
            <w:r>
              <w:rPr>
                <w:rFonts w:cs="Arial"/>
                <w:color w:val="000000"/>
                <w:szCs w:val="20"/>
              </w:rPr>
              <w:t>Pfeiffer</w:t>
            </w:r>
          </w:p>
        </w:tc>
        <w:tc>
          <w:tcPr>
            <w:tcW w:w="4680" w:type="dxa"/>
            <w:vAlign w:val="center"/>
          </w:tcPr>
          <w:p w:rsidR="00E93470" w:rsidRPr="00FA0B5E" w:rsidRDefault="00E93470" w:rsidP="00E93470">
            <w:pPr>
              <w:pStyle w:val="Names"/>
            </w:pPr>
            <w:r>
              <w:rPr>
                <w:rFonts w:cs="Arial"/>
                <w:color w:val="000000"/>
                <w:szCs w:val="20"/>
              </w:rPr>
              <w:t>GE Aviation</w:t>
            </w:r>
          </w:p>
        </w:tc>
        <w:tc>
          <w:tcPr>
            <w:tcW w:w="2160" w:type="dxa"/>
          </w:tcPr>
          <w:p w:rsidR="00E93470" w:rsidRPr="00FA0B5E" w:rsidRDefault="00E93470" w:rsidP="00E33636">
            <w:pPr>
              <w:pStyle w:val="Names"/>
            </w:pPr>
            <w:r>
              <w:t>Secretary</w:t>
            </w:r>
          </w:p>
        </w:tc>
      </w:tr>
      <w:tr w:rsidR="00E93470" w:rsidRPr="00FA0B5E" w:rsidTr="00FB6F9E">
        <w:tc>
          <w:tcPr>
            <w:tcW w:w="295" w:type="dxa"/>
          </w:tcPr>
          <w:p w:rsidR="00E93470" w:rsidRPr="00FA0B5E" w:rsidRDefault="00E93470" w:rsidP="00E93470">
            <w:pPr>
              <w:pStyle w:val="Names"/>
            </w:pPr>
          </w:p>
        </w:tc>
        <w:tc>
          <w:tcPr>
            <w:tcW w:w="1548" w:type="dxa"/>
            <w:vAlign w:val="center"/>
          </w:tcPr>
          <w:p w:rsidR="00E93470" w:rsidRPr="00FA0B5E" w:rsidRDefault="00E93470" w:rsidP="00E93470">
            <w:pPr>
              <w:pStyle w:val="Names"/>
            </w:pPr>
            <w:proofErr w:type="spellStart"/>
            <w:r>
              <w:rPr>
                <w:rFonts w:cs="Arial"/>
                <w:color w:val="000000"/>
                <w:szCs w:val="20"/>
              </w:rPr>
              <w:t>Mickael</w:t>
            </w:r>
            <w:proofErr w:type="spellEnd"/>
          </w:p>
        </w:tc>
        <w:tc>
          <w:tcPr>
            <w:tcW w:w="1620" w:type="dxa"/>
            <w:vAlign w:val="center"/>
          </w:tcPr>
          <w:p w:rsidR="00E93470" w:rsidRPr="00FA0B5E" w:rsidRDefault="00E93470" w:rsidP="00E93470">
            <w:pPr>
              <w:pStyle w:val="Names"/>
            </w:pPr>
            <w:r>
              <w:rPr>
                <w:rFonts w:cs="Arial"/>
                <w:color w:val="000000"/>
                <w:szCs w:val="20"/>
              </w:rPr>
              <w:t>Rancic</w:t>
            </w:r>
          </w:p>
        </w:tc>
        <w:tc>
          <w:tcPr>
            <w:tcW w:w="4680" w:type="dxa"/>
            <w:vAlign w:val="center"/>
          </w:tcPr>
          <w:p w:rsidR="00E93470" w:rsidRPr="00FA0B5E" w:rsidRDefault="00E93470" w:rsidP="00E93470">
            <w:pPr>
              <w:pStyle w:val="Names"/>
            </w:pPr>
            <w:r>
              <w:rPr>
                <w:rFonts w:cs="Arial"/>
                <w:color w:val="000000"/>
                <w:szCs w:val="20"/>
              </w:rPr>
              <w:t>SAFRAN Group</w:t>
            </w:r>
          </w:p>
        </w:tc>
        <w:tc>
          <w:tcPr>
            <w:tcW w:w="2160" w:type="dxa"/>
          </w:tcPr>
          <w:p w:rsidR="00E93470" w:rsidRPr="00FA0B5E" w:rsidRDefault="00E93470" w:rsidP="00E93470">
            <w:pPr>
              <w:pStyle w:val="Names"/>
            </w:pPr>
          </w:p>
        </w:tc>
      </w:tr>
    </w:tbl>
    <w:p w:rsidR="009B579A" w:rsidRDefault="009B579A"/>
    <w:p w:rsidR="009B579A" w:rsidRPr="00FC3F1E" w:rsidRDefault="009B579A" w:rsidP="009B579A">
      <w:pPr>
        <w:pStyle w:val="Body"/>
        <w:keepNext/>
        <w:spacing w:before="200"/>
        <w:rPr>
          <w:b/>
          <w:i/>
          <w:u w:val="single"/>
        </w:rPr>
      </w:pPr>
      <w:r w:rsidRPr="00FC3F1E">
        <w:rPr>
          <w:b/>
          <w:i/>
          <w:u w:val="single"/>
        </w:rPr>
        <w:t>Other Members/Participants Present (* Indicates Voting Member)</w:t>
      </w:r>
    </w:p>
    <w:tbl>
      <w:tblPr>
        <w:tblStyle w:val="TableGrid"/>
        <w:tblW w:w="10303" w:type="dxa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1548"/>
        <w:gridCol w:w="1620"/>
        <w:gridCol w:w="4680"/>
        <w:gridCol w:w="2160"/>
      </w:tblGrid>
      <w:tr w:rsidR="009B579A" w:rsidRPr="00FA0B5E" w:rsidTr="000909B0">
        <w:tc>
          <w:tcPr>
            <w:tcW w:w="295" w:type="dxa"/>
          </w:tcPr>
          <w:p w:rsidR="009B579A" w:rsidRPr="00FA0B5E" w:rsidRDefault="009B579A" w:rsidP="009B579A">
            <w:pPr>
              <w:pStyle w:val="Names"/>
            </w:pPr>
          </w:p>
        </w:tc>
        <w:tc>
          <w:tcPr>
            <w:tcW w:w="1548" w:type="dxa"/>
          </w:tcPr>
          <w:p w:rsidR="009B579A" w:rsidRPr="00FA0B5E" w:rsidRDefault="009B579A" w:rsidP="009B579A">
            <w:pPr>
              <w:pStyle w:val="Names"/>
            </w:pPr>
            <w:r w:rsidRPr="00FA0B5E">
              <w:t>NAME</w:t>
            </w:r>
          </w:p>
        </w:tc>
        <w:tc>
          <w:tcPr>
            <w:tcW w:w="1620" w:type="dxa"/>
          </w:tcPr>
          <w:p w:rsidR="009B579A" w:rsidRPr="00FA0B5E" w:rsidRDefault="009B579A" w:rsidP="009B579A">
            <w:pPr>
              <w:pStyle w:val="Names"/>
            </w:pPr>
          </w:p>
        </w:tc>
        <w:tc>
          <w:tcPr>
            <w:tcW w:w="4680" w:type="dxa"/>
          </w:tcPr>
          <w:p w:rsidR="009B579A" w:rsidRPr="00FA0B5E" w:rsidRDefault="009B579A" w:rsidP="009B579A">
            <w:pPr>
              <w:pStyle w:val="Names"/>
            </w:pPr>
            <w:r w:rsidRPr="00FA0B5E">
              <w:t>COMPANY NAME</w:t>
            </w:r>
          </w:p>
        </w:tc>
        <w:tc>
          <w:tcPr>
            <w:tcW w:w="2160" w:type="dxa"/>
          </w:tcPr>
          <w:p w:rsidR="009B579A" w:rsidRPr="00FA0B5E" w:rsidRDefault="009B579A" w:rsidP="009B579A">
            <w:pPr>
              <w:pStyle w:val="Names"/>
            </w:pPr>
          </w:p>
        </w:tc>
      </w:tr>
      <w:tr w:rsidR="009B579A" w:rsidRPr="00FA0B5E" w:rsidTr="00FB6F9E">
        <w:tc>
          <w:tcPr>
            <w:tcW w:w="295" w:type="dxa"/>
          </w:tcPr>
          <w:p w:rsidR="009B579A" w:rsidRPr="00FA0B5E" w:rsidRDefault="009B579A" w:rsidP="009B579A">
            <w:pPr>
              <w:pStyle w:val="Names"/>
            </w:pPr>
          </w:p>
        </w:tc>
        <w:tc>
          <w:tcPr>
            <w:tcW w:w="1548" w:type="dxa"/>
            <w:vAlign w:val="center"/>
          </w:tcPr>
          <w:p w:rsidR="009B579A" w:rsidRPr="00FA0B5E" w:rsidRDefault="009B579A" w:rsidP="009B579A">
            <w:pPr>
              <w:pStyle w:val="Names"/>
            </w:pPr>
            <w:proofErr w:type="spellStart"/>
            <w:r>
              <w:rPr>
                <w:rFonts w:cs="Arial"/>
                <w:szCs w:val="20"/>
              </w:rPr>
              <w:t>Sohail</w:t>
            </w:r>
            <w:proofErr w:type="spellEnd"/>
          </w:p>
        </w:tc>
        <w:tc>
          <w:tcPr>
            <w:tcW w:w="1620" w:type="dxa"/>
            <w:vAlign w:val="center"/>
          </w:tcPr>
          <w:p w:rsidR="009B579A" w:rsidRPr="00FA0B5E" w:rsidRDefault="009B579A" w:rsidP="009B579A">
            <w:pPr>
              <w:pStyle w:val="Names"/>
            </w:pPr>
            <w:r>
              <w:rPr>
                <w:rFonts w:cs="Arial"/>
                <w:szCs w:val="20"/>
              </w:rPr>
              <w:t>Amin</w:t>
            </w:r>
          </w:p>
        </w:tc>
        <w:tc>
          <w:tcPr>
            <w:tcW w:w="4680" w:type="dxa"/>
            <w:vAlign w:val="center"/>
          </w:tcPr>
          <w:p w:rsidR="009B579A" w:rsidRPr="00FA0B5E" w:rsidRDefault="009B579A" w:rsidP="009B579A">
            <w:pPr>
              <w:pStyle w:val="Names"/>
            </w:pPr>
            <w:r>
              <w:rPr>
                <w:rFonts w:cs="Arial"/>
                <w:szCs w:val="20"/>
              </w:rPr>
              <w:t>GKN Aerospace</w:t>
            </w:r>
          </w:p>
        </w:tc>
        <w:tc>
          <w:tcPr>
            <w:tcW w:w="2160" w:type="dxa"/>
          </w:tcPr>
          <w:p w:rsidR="009B579A" w:rsidRPr="00FA0B5E" w:rsidRDefault="009B579A" w:rsidP="009B579A">
            <w:pPr>
              <w:pStyle w:val="Names"/>
            </w:pPr>
          </w:p>
        </w:tc>
      </w:tr>
      <w:tr w:rsidR="009B579A" w:rsidRPr="00FA0B5E" w:rsidTr="00FB6F9E">
        <w:tc>
          <w:tcPr>
            <w:tcW w:w="295" w:type="dxa"/>
          </w:tcPr>
          <w:p w:rsidR="009B579A" w:rsidRPr="00FA0B5E" w:rsidRDefault="009B579A" w:rsidP="009B579A">
            <w:pPr>
              <w:pStyle w:val="Names"/>
            </w:pPr>
          </w:p>
        </w:tc>
        <w:tc>
          <w:tcPr>
            <w:tcW w:w="1548" w:type="dxa"/>
            <w:vAlign w:val="center"/>
          </w:tcPr>
          <w:p w:rsidR="009B579A" w:rsidRPr="00FA0B5E" w:rsidRDefault="009B579A" w:rsidP="009B579A">
            <w:pPr>
              <w:pStyle w:val="Names"/>
            </w:pPr>
            <w:proofErr w:type="spellStart"/>
            <w:r>
              <w:rPr>
                <w:rFonts w:cs="Arial"/>
                <w:color w:val="000000"/>
                <w:szCs w:val="20"/>
              </w:rPr>
              <w:t>Aysin</w:t>
            </w:r>
            <w:proofErr w:type="spellEnd"/>
          </w:p>
        </w:tc>
        <w:tc>
          <w:tcPr>
            <w:tcW w:w="1620" w:type="dxa"/>
            <w:vAlign w:val="center"/>
          </w:tcPr>
          <w:p w:rsidR="009B579A" w:rsidRPr="00FA0B5E" w:rsidRDefault="009B579A" w:rsidP="009B579A">
            <w:pPr>
              <w:pStyle w:val="Names"/>
            </w:pPr>
            <w:r>
              <w:rPr>
                <w:rFonts w:cs="Arial"/>
                <w:color w:val="000000"/>
                <w:szCs w:val="20"/>
              </w:rPr>
              <w:t>Aras</w:t>
            </w:r>
          </w:p>
        </w:tc>
        <w:tc>
          <w:tcPr>
            <w:tcW w:w="4680" w:type="dxa"/>
            <w:vAlign w:val="center"/>
          </w:tcPr>
          <w:p w:rsidR="009B579A" w:rsidRPr="00FA0B5E" w:rsidRDefault="009B579A" w:rsidP="009B579A">
            <w:pPr>
              <w:pStyle w:val="Names"/>
            </w:pPr>
            <w:r>
              <w:rPr>
                <w:rFonts w:cs="Arial"/>
                <w:color w:val="000000"/>
                <w:szCs w:val="20"/>
              </w:rPr>
              <w:t>TUSAS ENGINE INDUSTRIES INC</w:t>
            </w:r>
          </w:p>
        </w:tc>
        <w:tc>
          <w:tcPr>
            <w:tcW w:w="2160" w:type="dxa"/>
          </w:tcPr>
          <w:p w:rsidR="009B579A" w:rsidRPr="00FA0B5E" w:rsidRDefault="009B579A" w:rsidP="009B579A">
            <w:pPr>
              <w:pStyle w:val="Names"/>
            </w:pPr>
          </w:p>
        </w:tc>
      </w:tr>
      <w:tr w:rsidR="009B579A" w:rsidRPr="00FA0B5E" w:rsidTr="00FB6F9E">
        <w:tc>
          <w:tcPr>
            <w:tcW w:w="295" w:type="dxa"/>
          </w:tcPr>
          <w:p w:rsidR="009B579A" w:rsidRPr="00FA0B5E" w:rsidRDefault="009B579A" w:rsidP="009B579A">
            <w:pPr>
              <w:pStyle w:val="Names"/>
            </w:pPr>
          </w:p>
        </w:tc>
        <w:tc>
          <w:tcPr>
            <w:tcW w:w="1548" w:type="dxa"/>
            <w:vAlign w:val="center"/>
          </w:tcPr>
          <w:p w:rsidR="009B579A" w:rsidRPr="00FA0B5E" w:rsidRDefault="009B579A" w:rsidP="009B579A">
            <w:pPr>
              <w:pStyle w:val="Names"/>
            </w:pPr>
            <w:r>
              <w:rPr>
                <w:rFonts w:cs="Arial"/>
                <w:color w:val="000000"/>
                <w:szCs w:val="20"/>
              </w:rPr>
              <w:t>Frederick</w:t>
            </w:r>
          </w:p>
        </w:tc>
        <w:tc>
          <w:tcPr>
            <w:tcW w:w="1620" w:type="dxa"/>
            <w:vAlign w:val="center"/>
          </w:tcPr>
          <w:p w:rsidR="009B579A" w:rsidRPr="00FA0B5E" w:rsidRDefault="009B579A" w:rsidP="009B579A">
            <w:pPr>
              <w:pStyle w:val="Names"/>
            </w:pPr>
            <w:r>
              <w:rPr>
                <w:rFonts w:cs="Arial"/>
                <w:color w:val="000000"/>
                <w:szCs w:val="20"/>
              </w:rPr>
              <w:t>Binda</w:t>
            </w:r>
          </w:p>
        </w:tc>
        <w:tc>
          <w:tcPr>
            <w:tcW w:w="4680" w:type="dxa"/>
            <w:vAlign w:val="center"/>
          </w:tcPr>
          <w:p w:rsidR="009B579A" w:rsidRPr="00FA0B5E" w:rsidRDefault="009B579A" w:rsidP="009B579A">
            <w:pPr>
              <w:pStyle w:val="Names"/>
            </w:pPr>
            <w:r>
              <w:rPr>
                <w:rFonts w:cs="Arial"/>
                <w:color w:val="000000"/>
                <w:szCs w:val="20"/>
              </w:rPr>
              <w:t>Paradigm Precision</w:t>
            </w:r>
          </w:p>
        </w:tc>
        <w:tc>
          <w:tcPr>
            <w:tcW w:w="2160" w:type="dxa"/>
          </w:tcPr>
          <w:p w:rsidR="009B579A" w:rsidRPr="00FA0B5E" w:rsidRDefault="009B579A" w:rsidP="009B579A">
            <w:pPr>
              <w:pStyle w:val="Names"/>
            </w:pPr>
          </w:p>
        </w:tc>
      </w:tr>
      <w:tr w:rsidR="009B579A" w:rsidRPr="00FA0B5E" w:rsidTr="00FB6F9E">
        <w:tc>
          <w:tcPr>
            <w:tcW w:w="295" w:type="dxa"/>
          </w:tcPr>
          <w:p w:rsidR="009B579A" w:rsidRPr="00FA0B5E" w:rsidRDefault="009B579A" w:rsidP="009B579A">
            <w:pPr>
              <w:pStyle w:val="Names"/>
            </w:pPr>
          </w:p>
        </w:tc>
        <w:tc>
          <w:tcPr>
            <w:tcW w:w="1548" w:type="dxa"/>
            <w:vAlign w:val="center"/>
          </w:tcPr>
          <w:p w:rsidR="009B579A" w:rsidRDefault="009B579A" w:rsidP="009B579A">
            <w:pPr>
              <w:pStyle w:val="Names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Dean</w:t>
            </w:r>
          </w:p>
        </w:tc>
        <w:tc>
          <w:tcPr>
            <w:tcW w:w="1620" w:type="dxa"/>
            <w:vAlign w:val="center"/>
          </w:tcPr>
          <w:p w:rsidR="009B579A" w:rsidRDefault="009B579A" w:rsidP="009B579A">
            <w:pPr>
              <w:pStyle w:val="Names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Pitts</w:t>
            </w:r>
          </w:p>
        </w:tc>
        <w:tc>
          <w:tcPr>
            <w:tcW w:w="4680" w:type="dxa"/>
            <w:vAlign w:val="center"/>
          </w:tcPr>
          <w:p w:rsidR="009B579A" w:rsidRDefault="009B579A" w:rsidP="009B579A">
            <w:pPr>
              <w:pStyle w:val="Names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SA Thermal Engineering</w:t>
            </w:r>
          </w:p>
        </w:tc>
        <w:tc>
          <w:tcPr>
            <w:tcW w:w="2160" w:type="dxa"/>
          </w:tcPr>
          <w:p w:rsidR="009B579A" w:rsidRPr="00FA0B5E" w:rsidRDefault="009B579A" w:rsidP="009B579A">
            <w:pPr>
              <w:pStyle w:val="Names"/>
            </w:pPr>
          </w:p>
        </w:tc>
      </w:tr>
      <w:tr w:rsidR="009B579A" w:rsidRPr="00FA0B5E" w:rsidTr="00FB6F9E">
        <w:tc>
          <w:tcPr>
            <w:tcW w:w="295" w:type="dxa"/>
          </w:tcPr>
          <w:p w:rsidR="009B579A" w:rsidRPr="00FA0B5E" w:rsidRDefault="009B579A" w:rsidP="009B579A">
            <w:pPr>
              <w:pStyle w:val="Names"/>
            </w:pPr>
          </w:p>
        </w:tc>
        <w:tc>
          <w:tcPr>
            <w:tcW w:w="1548" w:type="dxa"/>
            <w:vAlign w:val="center"/>
          </w:tcPr>
          <w:p w:rsidR="009B579A" w:rsidRPr="00FA0B5E" w:rsidRDefault="009B579A" w:rsidP="009B579A">
            <w:pPr>
              <w:pStyle w:val="Names"/>
            </w:pPr>
            <w:proofErr w:type="spellStart"/>
            <w:r>
              <w:rPr>
                <w:rFonts w:cs="Arial"/>
                <w:color w:val="000000"/>
                <w:szCs w:val="20"/>
              </w:rPr>
              <w:t>Yasemin</w:t>
            </w:r>
            <w:proofErr w:type="spellEnd"/>
          </w:p>
        </w:tc>
        <w:tc>
          <w:tcPr>
            <w:tcW w:w="1620" w:type="dxa"/>
            <w:vAlign w:val="center"/>
          </w:tcPr>
          <w:p w:rsidR="009B579A" w:rsidRPr="00FA0B5E" w:rsidRDefault="009B579A" w:rsidP="009B579A">
            <w:pPr>
              <w:pStyle w:val="Names"/>
            </w:pPr>
            <w:proofErr w:type="spellStart"/>
            <w:r>
              <w:rPr>
                <w:rFonts w:cs="Arial"/>
                <w:color w:val="000000"/>
                <w:szCs w:val="20"/>
              </w:rPr>
              <w:t>Seref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0"/>
              </w:rPr>
              <w:t>Cizioglu</w:t>
            </w:r>
            <w:proofErr w:type="spellEnd"/>
          </w:p>
        </w:tc>
        <w:tc>
          <w:tcPr>
            <w:tcW w:w="4680" w:type="dxa"/>
            <w:vAlign w:val="center"/>
          </w:tcPr>
          <w:p w:rsidR="009B579A" w:rsidRPr="00FA0B5E" w:rsidRDefault="009B579A" w:rsidP="009B579A">
            <w:pPr>
              <w:pStyle w:val="Names"/>
            </w:pPr>
            <w:r>
              <w:rPr>
                <w:rFonts w:cs="Arial"/>
                <w:color w:val="000000"/>
                <w:szCs w:val="20"/>
              </w:rPr>
              <w:t>TUSAS ENGINE INDUSTRIES INC.</w:t>
            </w:r>
          </w:p>
        </w:tc>
        <w:tc>
          <w:tcPr>
            <w:tcW w:w="2160" w:type="dxa"/>
          </w:tcPr>
          <w:p w:rsidR="009B579A" w:rsidRPr="00FA0B5E" w:rsidRDefault="009B579A" w:rsidP="009B579A">
            <w:pPr>
              <w:pStyle w:val="Names"/>
            </w:pPr>
          </w:p>
        </w:tc>
      </w:tr>
      <w:tr w:rsidR="009B579A" w:rsidRPr="00FA0B5E" w:rsidTr="00FB6F9E">
        <w:tc>
          <w:tcPr>
            <w:tcW w:w="295" w:type="dxa"/>
          </w:tcPr>
          <w:p w:rsidR="009B579A" w:rsidRPr="00FA0B5E" w:rsidRDefault="009B579A" w:rsidP="009B579A">
            <w:pPr>
              <w:pStyle w:val="Names"/>
            </w:pPr>
          </w:p>
        </w:tc>
        <w:tc>
          <w:tcPr>
            <w:tcW w:w="1548" w:type="dxa"/>
            <w:vAlign w:val="center"/>
          </w:tcPr>
          <w:p w:rsidR="009B579A" w:rsidRDefault="009B579A" w:rsidP="009B579A">
            <w:pPr>
              <w:pStyle w:val="Names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David</w:t>
            </w:r>
          </w:p>
        </w:tc>
        <w:tc>
          <w:tcPr>
            <w:tcW w:w="1620" w:type="dxa"/>
            <w:vAlign w:val="center"/>
          </w:tcPr>
          <w:p w:rsidR="009B579A" w:rsidRDefault="009B579A" w:rsidP="009B579A">
            <w:pPr>
              <w:pStyle w:val="Names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Thompson</w:t>
            </w:r>
          </w:p>
        </w:tc>
        <w:tc>
          <w:tcPr>
            <w:tcW w:w="4680" w:type="dxa"/>
            <w:vAlign w:val="center"/>
          </w:tcPr>
          <w:p w:rsidR="009B579A" w:rsidRDefault="009B579A" w:rsidP="009B579A">
            <w:pPr>
              <w:pStyle w:val="Names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DCI Aerotech</w:t>
            </w:r>
          </w:p>
        </w:tc>
        <w:tc>
          <w:tcPr>
            <w:tcW w:w="2160" w:type="dxa"/>
          </w:tcPr>
          <w:p w:rsidR="009B579A" w:rsidRPr="00FA0B5E" w:rsidRDefault="009B579A" w:rsidP="009B579A">
            <w:pPr>
              <w:pStyle w:val="Names"/>
            </w:pPr>
          </w:p>
        </w:tc>
      </w:tr>
      <w:tr w:rsidR="009B579A" w:rsidRPr="00FA0B5E" w:rsidTr="00FB6F9E">
        <w:tc>
          <w:tcPr>
            <w:tcW w:w="295" w:type="dxa"/>
          </w:tcPr>
          <w:p w:rsidR="009B579A" w:rsidRPr="00FA0B5E" w:rsidRDefault="009B579A" w:rsidP="009B579A">
            <w:pPr>
              <w:pStyle w:val="Names"/>
            </w:pPr>
          </w:p>
        </w:tc>
        <w:tc>
          <w:tcPr>
            <w:tcW w:w="1548" w:type="dxa"/>
            <w:vAlign w:val="center"/>
          </w:tcPr>
          <w:p w:rsidR="009B579A" w:rsidRDefault="009B579A" w:rsidP="009B579A">
            <w:pPr>
              <w:pStyle w:val="Names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Joel</w:t>
            </w:r>
          </w:p>
        </w:tc>
        <w:tc>
          <w:tcPr>
            <w:tcW w:w="1620" w:type="dxa"/>
            <w:vAlign w:val="center"/>
          </w:tcPr>
          <w:p w:rsidR="009B579A" w:rsidRDefault="009B579A" w:rsidP="009B579A">
            <w:pPr>
              <w:pStyle w:val="Names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Yu</w:t>
            </w:r>
          </w:p>
        </w:tc>
        <w:tc>
          <w:tcPr>
            <w:tcW w:w="4680" w:type="dxa"/>
            <w:vAlign w:val="center"/>
          </w:tcPr>
          <w:p w:rsidR="009B579A" w:rsidRDefault="009B579A" w:rsidP="009B579A">
            <w:pPr>
              <w:pStyle w:val="Names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ALLJACK Technologies, Inc.</w:t>
            </w:r>
          </w:p>
        </w:tc>
        <w:tc>
          <w:tcPr>
            <w:tcW w:w="2160" w:type="dxa"/>
          </w:tcPr>
          <w:p w:rsidR="009B579A" w:rsidRPr="00FA0B5E" w:rsidRDefault="009B579A" w:rsidP="009B579A">
            <w:pPr>
              <w:pStyle w:val="Names"/>
            </w:pPr>
          </w:p>
        </w:tc>
      </w:tr>
    </w:tbl>
    <w:p w:rsidR="00FA0B5E" w:rsidRPr="00272E48" w:rsidRDefault="00FA0B5E" w:rsidP="00FC3F1E">
      <w:pPr>
        <w:pStyle w:val="Body"/>
        <w:keepNext/>
        <w:spacing w:before="200"/>
        <w:rPr>
          <w:b/>
          <w:i/>
          <w:u w:val="single"/>
        </w:rPr>
      </w:pPr>
      <w:r w:rsidRPr="00272E48">
        <w:rPr>
          <w:b/>
          <w:i/>
          <w:u w:val="single"/>
        </w:rPr>
        <w:t xml:space="preserve">PRI Staff Present </w:t>
      </w:r>
    </w:p>
    <w:tbl>
      <w:tblPr>
        <w:tblStyle w:val="TableGrid"/>
        <w:tblW w:w="398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1980"/>
      </w:tblGrid>
      <w:tr w:rsidR="00EF46C4" w:rsidRPr="00FA0B5E" w:rsidTr="00C62966">
        <w:tc>
          <w:tcPr>
            <w:tcW w:w="2005" w:type="dxa"/>
            <w:vAlign w:val="center"/>
          </w:tcPr>
          <w:p w:rsidR="00EF46C4" w:rsidRPr="00FA0B5E" w:rsidRDefault="00EF46C4" w:rsidP="00EF46C4">
            <w:pPr>
              <w:pStyle w:val="Names"/>
            </w:pPr>
            <w:r>
              <w:rPr>
                <w:rFonts w:cs="Arial"/>
                <w:color w:val="000000"/>
                <w:szCs w:val="20"/>
              </w:rPr>
              <w:t>Andy</w:t>
            </w:r>
          </w:p>
        </w:tc>
        <w:tc>
          <w:tcPr>
            <w:tcW w:w="1980" w:type="dxa"/>
            <w:vAlign w:val="center"/>
          </w:tcPr>
          <w:p w:rsidR="00EF46C4" w:rsidRPr="00FA0B5E" w:rsidRDefault="00EF46C4" w:rsidP="00EF46C4">
            <w:pPr>
              <w:pStyle w:val="Names"/>
            </w:pPr>
            <w:r>
              <w:rPr>
                <w:rFonts w:cs="Arial"/>
                <w:color w:val="000000"/>
                <w:szCs w:val="20"/>
              </w:rPr>
              <w:t>Statham</w:t>
            </w:r>
          </w:p>
        </w:tc>
      </w:tr>
    </w:tbl>
    <w:p w:rsidR="003B5FCD" w:rsidRDefault="003B5FCD" w:rsidP="003B5FCD">
      <w:pPr>
        <w:pStyle w:val="Body"/>
      </w:pPr>
    </w:p>
    <w:p w:rsidR="00FA0B5E" w:rsidRDefault="00C9717F" w:rsidP="00866C8D">
      <w:pPr>
        <w:pStyle w:val="Heading2"/>
      </w:pPr>
      <w:r>
        <w:lastRenderedPageBreak/>
        <w:t>Safety Information</w:t>
      </w:r>
      <w:r w:rsidR="00F65A17">
        <w:t xml:space="preserve"> </w:t>
      </w:r>
      <w:r>
        <w:t xml:space="preserve">– </w:t>
      </w:r>
      <w:r w:rsidR="00F65A17">
        <w:t>Reviewed</w:t>
      </w:r>
    </w:p>
    <w:p w:rsidR="007F7E08" w:rsidRDefault="00C9717F" w:rsidP="00F76453">
      <w:pPr>
        <w:pStyle w:val="Heading2"/>
      </w:pPr>
      <w:r>
        <w:t xml:space="preserve">Review Code of Ethics – </w:t>
      </w:r>
      <w:r w:rsidR="00F65A17">
        <w:t>Reviewed</w:t>
      </w:r>
    </w:p>
    <w:p w:rsidR="00C9717F" w:rsidRDefault="00C9717F" w:rsidP="00C9717F">
      <w:pPr>
        <w:pStyle w:val="Heading2"/>
      </w:pPr>
      <w:r>
        <w:t xml:space="preserve">Present </w:t>
      </w:r>
      <w:r w:rsidR="00FB6F9E">
        <w:t>Antitrust</w:t>
      </w:r>
      <w:r>
        <w:t xml:space="preserve"> Video – </w:t>
      </w:r>
      <w:r w:rsidR="00F65A17">
        <w:t>Reviewed</w:t>
      </w:r>
    </w:p>
    <w:p w:rsidR="00C9717F" w:rsidRDefault="00C9717F" w:rsidP="00C9717F">
      <w:pPr>
        <w:pStyle w:val="Heading2"/>
      </w:pPr>
      <w:r>
        <w:t>Review Agenda</w:t>
      </w:r>
    </w:p>
    <w:p w:rsidR="009B579A" w:rsidRDefault="009B579A" w:rsidP="009B579A">
      <w:pPr>
        <w:pStyle w:val="Heading2"/>
      </w:pPr>
      <w:r>
        <w:t>Acceptance of Meeting Minutes – A small grammatical correction to the Draft Minutes was proposed by John Pfeiffer</w:t>
      </w:r>
    </w:p>
    <w:p w:rsidR="009B579A" w:rsidRPr="009B579A" w:rsidRDefault="009B579A" w:rsidP="009B579A">
      <w:pPr>
        <w:pStyle w:val="Body"/>
      </w:pPr>
      <w:r w:rsidRPr="00FB6F9E">
        <w:t>Motion made by David Day and seconded by Ken Abram to accept the October 2016 Minutes as amended. Motion Passed</w:t>
      </w:r>
      <w:r w:rsidRPr="00A00076">
        <w:t>.</w:t>
      </w:r>
    </w:p>
    <w:p w:rsidR="00FA0B5E" w:rsidRDefault="00C9717F" w:rsidP="00FA0B5E">
      <w:pPr>
        <w:pStyle w:val="Heading1"/>
      </w:pPr>
      <w:r>
        <w:t>Review delegation status– CLOSED</w:t>
      </w:r>
    </w:p>
    <w:p w:rsidR="00FA0B5E" w:rsidRDefault="00BD492D" w:rsidP="00FA0B5E">
      <w:pPr>
        <w:pStyle w:val="Body"/>
      </w:pPr>
      <w:r>
        <w:t>Andy</w:t>
      </w:r>
      <w:r w:rsidR="009C7F51">
        <w:t xml:space="preserve"> Statham</w:t>
      </w:r>
      <w:r>
        <w:t xml:space="preserve">’s delegation concurrence is 100%, with 87.9% reviewed by a minimum of 3 Voting Members.  Andy </w:t>
      </w:r>
      <w:r w:rsidR="009C7F51">
        <w:t xml:space="preserve">Statham </w:t>
      </w:r>
      <w:r>
        <w:t xml:space="preserve">mentioned that, where appropriate, ballot comments should be used to document issues that are sometimes being handled outside the system between </w:t>
      </w:r>
      <w:r w:rsidR="00304D56">
        <w:t>s</w:t>
      </w:r>
      <w:r>
        <w:t>ubscribers and the Staff Engineer.</w:t>
      </w:r>
    </w:p>
    <w:p w:rsidR="00EB1F18" w:rsidRDefault="00EB1F18" w:rsidP="00265912">
      <w:pPr>
        <w:pStyle w:val="ActionItem"/>
      </w:pPr>
      <w:r w:rsidRPr="002912EA">
        <w:t xml:space="preserve">ACTION ITEM: </w:t>
      </w:r>
      <w:r w:rsidR="00265912">
        <w:t>Andy Statham</w:t>
      </w:r>
      <w:r w:rsidR="00265912" w:rsidRPr="002912EA">
        <w:t xml:space="preserve"> </w:t>
      </w:r>
      <w:r>
        <w:t xml:space="preserve">to investigate </w:t>
      </w:r>
      <w:r w:rsidR="000C2D91">
        <w:t xml:space="preserve">the </w:t>
      </w:r>
      <w:r>
        <w:t>4 Suppliers that could be eligible for, but have</w:t>
      </w:r>
      <w:r w:rsidR="00F56CC7">
        <w:t>n’t</w:t>
      </w:r>
      <w:r>
        <w:t xml:space="preserve"> attained, merit to see if there are any systemic issues. </w:t>
      </w:r>
      <w:r w:rsidRPr="002912EA">
        <w:t xml:space="preserve"> (Due Date: </w:t>
      </w:r>
      <w:r w:rsidR="0070369F">
        <w:t>31</w:t>
      </w:r>
      <w:r w:rsidRPr="002912EA">
        <w:t>-</w:t>
      </w:r>
      <w:r>
        <w:t>Mar</w:t>
      </w:r>
      <w:r w:rsidRPr="002912EA">
        <w:t>-20</w:t>
      </w:r>
      <w:r>
        <w:t>17</w:t>
      </w:r>
      <w:r w:rsidRPr="002912EA">
        <w:t>)</w:t>
      </w:r>
    </w:p>
    <w:p w:rsidR="00C9717F" w:rsidRDefault="00C9717F" w:rsidP="00114717">
      <w:pPr>
        <w:pStyle w:val="Heading1"/>
      </w:pPr>
      <w:r>
        <w:t>new business and subscriber clarifications – CLOSED</w:t>
      </w:r>
    </w:p>
    <w:p w:rsidR="00CE460C" w:rsidRDefault="00CE460C" w:rsidP="00726A19">
      <w:pPr>
        <w:pStyle w:val="Body"/>
      </w:pPr>
      <w:r>
        <w:t>The Task Group discussed Succession Planning, which is the only “red” metric.  The group is overdue to rotate leadership per the 2-year goal.   Ken Abram volunteered to take over the Chairpersonship in October</w:t>
      </w:r>
      <w:r w:rsidR="00E521EE">
        <w:t xml:space="preserve"> 2017</w:t>
      </w:r>
      <w:r>
        <w:t xml:space="preserve"> if there are no other interested parties.  The Vice</w:t>
      </w:r>
      <w:r w:rsidR="00E521EE">
        <w:t xml:space="preserve"> </w:t>
      </w:r>
      <w:r>
        <w:t xml:space="preserve">Chairpersonship has been open for some time and there was discussion about what the responsibilities of the position </w:t>
      </w:r>
      <w:r w:rsidR="00E521EE">
        <w:t>entails</w:t>
      </w:r>
      <w:r>
        <w:t>.</w:t>
      </w:r>
    </w:p>
    <w:p w:rsidR="00CE460C" w:rsidRDefault="002912EA" w:rsidP="00CE460C">
      <w:pPr>
        <w:pStyle w:val="Body"/>
      </w:pPr>
      <w:r>
        <w:t>An audit was performed by a Subscriber at a Supplier that had also been recently audited by Nadcap.  The Subscriber identified 1</w:t>
      </w:r>
      <w:r w:rsidR="00726A19">
        <w:t>7</w:t>
      </w:r>
      <w:r>
        <w:t xml:space="preserve"> minor</w:t>
      </w:r>
      <w:r w:rsidR="00E521EE">
        <w:t xml:space="preserve"> Nonconformance Reports</w:t>
      </w:r>
      <w:r>
        <w:t xml:space="preserve"> </w:t>
      </w:r>
      <w:r w:rsidR="00E521EE">
        <w:t>(</w:t>
      </w:r>
      <w:r>
        <w:t>NCRs</w:t>
      </w:r>
      <w:r w:rsidR="00E521EE">
        <w:t>),</w:t>
      </w:r>
      <w:r w:rsidR="00895CA2">
        <w:t xml:space="preserve"> whereas the most recent Nadcap audit had 1 NCR</w:t>
      </w:r>
      <w:r>
        <w:t>.</w:t>
      </w:r>
      <w:r w:rsidR="00726A19">
        <w:t xml:space="preserve">  The Task Group reviewed the findings and noted that 8 were concerning milling (for which the Supplier is not Nadcap accredited), 2 concerned all processes, and 6 concerned </w:t>
      </w:r>
      <w:proofErr w:type="spellStart"/>
      <w:r w:rsidR="00726A19">
        <w:t>edgebreak</w:t>
      </w:r>
      <w:proofErr w:type="spellEnd"/>
      <w:r w:rsidR="00726A19">
        <w:t xml:space="preserve">.  Of the non-milling NCRs, most </w:t>
      </w:r>
      <w:r w:rsidR="00895CA2">
        <w:t xml:space="preserve">identified issues that would not have been covered by the </w:t>
      </w:r>
      <w:r w:rsidR="00E521EE">
        <w:t>AC7126</w:t>
      </w:r>
      <w:r w:rsidR="00895CA2">
        <w:t xml:space="preserve">/6 requirements of the </w:t>
      </w:r>
      <w:r w:rsidR="00E521EE">
        <w:t>subscribers</w:t>
      </w:r>
      <w:r w:rsidR="00895CA2">
        <w:t xml:space="preserve"> to which the Supplier is qualified.  Only 2-3 </w:t>
      </w:r>
      <w:r w:rsidR="00E33636">
        <w:t xml:space="preserve">of the </w:t>
      </w:r>
      <w:r w:rsidR="00895CA2">
        <w:t>S</w:t>
      </w:r>
      <w:r w:rsidR="00E33636">
        <w:t>ubscriber</w:t>
      </w:r>
      <w:r w:rsidR="00895CA2">
        <w:t xml:space="preserve"> NCRs appear to potentially overlap with prior N</w:t>
      </w:r>
      <w:r w:rsidR="00FB6F9E">
        <w:t>adcap audits and the Task</w:t>
      </w:r>
      <w:r w:rsidR="00895CA2">
        <w:t xml:space="preserve"> Group does not feel that any immediate actions are necessary.</w:t>
      </w:r>
    </w:p>
    <w:p w:rsidR="002912EA" w:rsidRDefault="002912EA" w:rsidP="00FB6F9E">
      <w:pPr>
        <w:pStyle w:val="ActionItem"/>
      </w:pPr>
      <w:r w:rsidRPr="002912EA">
        <w:t xml:space="preserve">ACTION ITEM: </w:t>
      </w:r>
      <w:r w:rsidR="00265912">
        <w:t>Andy Statham</w:t>
      </w:r>
      <w:r w:rsidR="00265912" w:rsidRPr="002912EA">
        <w:t xml:space="preserve"> </w:t>
      </w:r>
      <w:r>
        <w:t xml:space="preserve">to add items to the DCS for </w:t>
      </w:r>
      <w:r w:rsidR="007B651C">
        <w:t>AC7126</w:t>
      </w:r>
      <w:r>
        <w:t>/</w:t>
      </w:r>
      <w:r w:rsidR="00726A19">
        <w:t>4</w:t>
      </w:r>
      <w:r>
        <w:t xml:space="preserve"> and </w:t>
      </w:r>
      <w:r w:rsidR="007B651C">
        <w:t>AC7126</w:t>
      </w:r>
      <w:r>
        <w:t xml:space="preserve">/6 checklists to review the list of findings provided by </w:t>
      </w:r>
      <w:r w:rsidR="00E33636">
        <w:t xml:space="preserve">the </w:t>
      </w:r>
      <w:r>
        <w:t>S</w:t>
      </w:r>
      <w:r w:rsidR="00E33636">
        <w:t>ubscriber</w:t>
      </w:r>
      <w:r>
        <w:t xml:space="preserve"> when updating those slash sheets.</w:t>
      </w:r>
      <w:r w:rsidRPr="002912EA">
        <w:t xml:space="preserve"> (Due Date: </w:t>
      </w:r>
      <w:r>
        <w:t>10</w:t>
      </w:r>
      <w:r w:rsidRPr="002912EA">
        <w:t>-</w:t>
      </w:r>
      <w:r>
        <w:t>Mar</w:t>
      </w:r>
      <w:r w:rsidRPr="002912EA">
        <w:t>-20</w:t>
      </w:r>
      <w:r>
        <w:t>17</w:t>
      </w:r>
      <w:r w:rsidRPr="002912EA">
        <w:t>)</w:t>
      </w:r>
    </w:p>
    <w:p w:rsidR="00726A19" w:rsidRDefault="002912EA" w:rsidP="00CE460C">
      <w:pPr>
        <w:pStyle w:val="Body"/>
      </w:pPr>
      <w:r w:rsidRPr="002912EA">
        <w:t>The Task</w:t>
      </w:r>
      <w:r>
        <w:t xml:space="preserve"> Group</w:t>
      </w:r>
      <w:r w:rsidR="00726A19">
        <w:t xml:space="preserve"> discussed a </w:t>
      </w:r>
      <w:r w:rsidR="00E33636">
        <w:t>request</w:t>
      </w:r>
      <w:r w:rsidR="00726A19">
        <w:t xml:space="preserve"> from PRI that Staff Engineers be qualified auditors for their commodities.  The Task Group has complete confidence in Andy</w:t>
      </w:r>
      <w:r w:rsidR="009C7F51">
        <w:t xml:space="preserve"> Statham</w:t>
      </w:r>
      <w:r w:rsidR="00726A19">
        <w:t xml:space="preserve">, but the consensus is that this is not necessary for </w:t>
      </w:r>
      <w:r w:rsidR="00895CA2">
        <w:t>him</w:t>
      </w:r>
      <w:r w:rsidR="00726A19">
        <w:t>, given that:</w:t>
      </w:r>
    </w:p>
    <w:p w:rsidR="002912EA" w:rsidRDefault="00726A19" w:rsidP="00726A19">
      <w:pPr>
        <w:pStyle w:val="Body"/>
        <w:numPr>
          <w:ilvl w:val="0"/>
          <w:numId w:val="5"/>
        </w:numPr>
        <w:spacing w:after="0"/>
      </w:pPr>
      <w:r>
        <w:t xml:space="preserve">Andy </w:t>
      </w:r>
      <w:r w:rsidR="009C7F51">
        <w:t xml:space="preserve">Statham </w:t>
      </w:r>
      <w:r>
        <w:t>is not a U.S. citizen and only a few CMSP audits are not ITAR</w:t>
      </w:r>
    </w:p>
    <w:p w:rsidR="00726A19" w:rsidRDefault="00726A19" w:rsidP="00726A19">
      <w:pPr>
        <w:pStyle w:val="Body"/>
        <w:numPr>
          <w:ilvl w:val="0"/>
          <w:numId w:val="5"/>
        </w:numPr>
        <w:spacing w:after="0"/>
      </w:pPr>
      <w:r>
        <w:t xml:space="preserve">With only one qualified Staff Engineer there would be no one to review an audit that Andy </w:t>
      </w:r>
      <w:r w:rsidR="00895CA2">
        <w:t>performed</w:t>
      </w:r>
    </w:p>
    <w:p w:rsidR="00895CA2" w:rsidRDefault="00895CA2" w:rsidP="00895CA2">
      <w:pPr>
        <w:pStyle w:val="Body"/>
        <w:spacing w:after="0"/>
      </w:pPr>
    </w:p>
    <w:p w:rsidR="00895CA2" w:rsidRDefault="00895CA2" w:rsidP="00895CA2">
      <w:pPr>
        <w:pStyle w:val="Body"/>
        <w:spacing w:after="0"/>
      </w:pPr>
      <w:r>
        <w:t>The Task Group discussed the PRI request regarding whether the Task Group would expect to generate a quorum at a potential Nadcap meet</w:t>
      </w:r>
      <w:r w:rsidR="00433D31">
        <w:t xml:space="preserve">ing in China in 2020.  The Task </w:t>
      </w:r>
      <w:r>
        <w:t>Group expects to meet and be able to raise a quorum.</w:t>
      </w:r>
    </w:p>
    <w:p w:rsidR="0051163D" w:rsidRDefault="0051163D" w:rsidP="00895CA2">
      <w:pPr>
        <w:pStyle w:val="Body"/>
        <w:spacing w:after="0"/>
      </w:pPr>
    </w:p>
    <w:p w:rsidR="008A704B" w:rsidRDefault="008A704B" w:rsidP="008A704B">
      <w:pPr>
        <w:pStyle w:val="Heading1"/>
      </w:pPr>
      <w:r>
        <w:lastRenderedPageBreak/>
        <w:t>op 1117 auditor consistency – CLOSED</w:t>
      </w:r>
    </w:p>
    <w:p w:rsidR="00AE3C43" w:rsidRDefault="00390591" w:rsidP="00AE3C43">
      <w:pPr>
        <w:pStyle w:val="Body"/>
      </w:pPr>
      <w:r>
        <w:t xml:space="preserve">The Task Group discussed a particular </w:t>
      </w:r>
      <w:r w:rsidR="002F3A87">
        <w:t>A</w:t>
      </w:r>
      <w:r>
        <w:t>uditor for whom a number of recent performance issues have been identified.</w:t>
      </w:r>
      <w:r w:rsidR="009E2E60">
        <w:t xml:space="preserve">  The Task Group will:</w:t>
      </w:r>
    </w:p>
    <w:p w:rsidR="009E2E60" w:rsidRDefault="009E2E60" w:rsidP="009E2E60">
      <w:pPr>
        <w:pStyle w:val="Body"/>
        <w:numPr>
          <w:ilvl w:val="0"/>
          <w:numId w:val="5"/>
        </w:numPr>
        <w:spacing w:after="0"/>
      </w:pPr>
      <w:r>
        <w:t>Interview additional candidate(s) to provide auditor capacity</w:t>
      </w:r>
    </w:p>
    <w:p w:rsidR="009E2E60" w:rsidRDefault="00433D31" w:rsidP="009E2E60">
      <w:pPr>
        <w:pStyle w:val="Body"/>
        <w:numPr>
          <w:ilvl w:val="0"/>
          <w:numId w:val="5"/>
        </w:numPr>
        <w:spacing w:after="0"/>
      </w:pPr>
      <w:r>
        <w:t>Schedule several oversight audits</w:t>
      </w:r>
    </w:p>
    <w:p w:rsidR="00433D31" w:rsidRDefault="00433D31" w:rsidP="00433D31">
      <w:pPr>
        <w:pStyle w:val="Body"/>
        <w:spacing w:after="0"/>
      </w:pPr>
    </w:p>
    <w:p w:rsidR="00433D31" w:rsidRDefault="00433D31" w:rsidP="00433D31">
      <w:pPr>
        <w:pStyle w:val="Body"/>
        <w:spacing w:after="0"/>
      </w:pPr>
      <w:r>
        <w:t>The Task Group reviewed the currently scheduled audits for each auditor and committed to oversight audits</w:t>
      </w:r>
      <w:r w:rsidR="0051163D">
        <w:t xml:space="preserve"> in the first half of the year.  Additional oversight audits may be scheduled in the second half of </w:t>
      </w:r>
      <w:r w:rsidR="00167FC5">
        <w:t xml:space="preserve">the year based on the results of the first audits and the updated schedule to be reviewed at the June </w:t>
      </w:r>
      <w:r w:rsidR="002F3A87">
        <w:t>2017 Nadcap M</w:t>
      </w:r>
      <w:r w:rsidR="00167FC5">
        <w:t>eeting.</w:t>
      </w:r>
    </w:p>
    <w:p w:rsidR="0051163D" w:rsidRDefault="0051163D" w:rsidP="00433D31">
      <w:pPr>
        <w:pStyle w:val="Body"/>
        <w:spacing w:after="0"/>
      </w:pPr>
    </w:p>
    <w:p w:rsidR="0051163D" w:rsidRDefault="0051163D" w:rsidP="00FB6F9E">
      <w:pPr>
        <w:pStyle w:val="ActionItem"/>
      </w:pPr>
      <w:r w:rsidRPr="002912EA">
        <w:t xml:space="preserve">ACTION ITEM: </w:t>
      </w:r>
      <w:r w:rsidR="00265912">
        <w:t>Andy Statham</w:t>
      </w:r>
      <w:r w:rsidR="00265912" w:rsidRPr="002912EA">
        <w:t xml:space="preserve"> </w:t>
      </w:r>
      <w:r w:rsidR="009F354E">
        <w:t>will</w:t>
      </w:r>
      <w:r>
        <w:t xml:space="preserve"> add to the A-Form 27 (Auditor Interview and Qualification Status) that at least 1 T-Audit shall include </w:t>
      </w:r>
      <w:r w:rsidR="00242A9A">
        <w:t>AC7126</w:t>
      </w:r>
      <w:r>
        <w:t xml:space="preserve">/1 - /4 or </w:t>
      </w:r>
      <w:r w:rsidR="00242A9A">
        <w:t>AC7126</w:t>
      </w:r>
      <w:r>
        <w:t xml:space="preserve">/6 and at least one T-audit shall include </w:t>
      </w:r>
      <w:r w:rsidR="00242A9A">
        <w:t>AC7126</w:t>
      </w:r>
      <w:r>
        <w:t xml:space="preserve">/5. </w:t>
      </w:r>
      <w:r w:rsidRPr="002912EA">
        <w:t xml:space="preserve"> (Due Date: </w:t>
      </w:r>
      <w:r>
        <w:t>10</w:t>
      </w:r>
      <w:r w:rsidRPr="002912EA">
        <w:t>-</w:t>
      </w:r>
      <w:r>
        <w:t>Mar</w:t>
      </w:r>
      <w:r w:rsidRPr="002912EA">
        <w:t>-20</w:t>
      </w:r>
      <w:r>
        <w:t>17</w:t>
      </w:r>
      <w:r w:rsidRPr="002912EA">
        <w:t>)</w:t>
      </w:r>
    </w:p>
    <w:p w:rsidR="005D6AAD" w:rsidRDefault="005D6AAD" w:rsidP="005D6AAD">
      <w:pPr>
        <w:pStyle w:val="Body"/>
        <w:spacing w:after="0"/>
      </w:pPr>
    </w:p>
    <w:p w:rsidR="00183C24" w:rsidRDefault="005D6AAD" w:rsidP="009B579A">
      <w:pPr>
        <w:pStyle w:val="ActionItem"/>
        <w:rPr>
          <w:b w:val="0"/>
        </w:rPr>
      </w:pPr>
      <w:r w:rsidRPr="002912EA">
        <w:t xml:space="preserve">ACTION ITEM: </w:t>
      </w:r>
      <w:r w:rsidR="00265912">
        <w:t>Andy Statham</w:t>
      </w:r>
      <w:r w:rsidR="00265912" w:rsidRPr="002912EA">
        <w:t xml:space="preserve"> </w:t>
      </w:r>
      <w:r>
        <w:t xml:space="preserve">to post the updated Observation Audit schedule. </w:t>
      </w:r>
      <w:r w:rsidRPr="002912EA">
        <w:t xml:space="preserve"> (Due Date: </w:t>
      </w:r>
      <w:r>
        <w:t>10</w:t>
      </w:r>
      <w:r w:rsidRPr="002912EA">
        <w:t>-</w:t>
      </w:r>
      <w:r>
        <w:t>Mar</w:t>
      </w:r>
      <w:r w:rsidRPr="002912EA">
        <w:t>-20</w:t>
      </w:r>
      <w:r>
        <w:t>17</w:t>
      </w:r>
      <w:r w:rsidRPr="002912EA">
        <w:t>)</w:t>
      </w:r>
      <w:bookmarkStart w:id="0" w:name="_GoBack"/>
      <w:bookmarkEnd w:id="0"/>
    </w:p>
    <w:p w:rsidR="008A704B" w:rsidRDefault="008A704B" w:rsidP="00742529">
      <w:pPr>
        <w:pStyle w:val="Heading1"/>
        <w:numPr>
          <w:ilvl w:val="0"/>
          <w:numId w:val="10"/>
        </w:numPr>
      </w:pPr>
      <w:r>
        <w:t>closed meeting debrief – open</w:t>
      </w:r>
    </w:p>
    <w:p w:rsidR="008114B7" w:rsidRDefault="008114B7" w:rsidP="008114B7">
      <w:pPr>
        <w:pStyle w:val="Body"/>
      </w:pPr>
      <w:r>
        <w:t xml:space="preserve">Chairperson Chuck </w:t>
      </w:r>
      <w:proofErr w:type="spellStart"/>
      <w:r>
        <w:t>Beargie</w:t>
      </w:r>
      <w:proofErr w:type="spellEnd"/>
      <w:r>
        <w:t xml:space="preserve"> provided a short and sanitized overview of the CLOSED </w:t>
      </w:r>
      <w:r w:rsidR="00A00076">
        <w:t>meeting</w:t>
      </w:r>
      <w:r>
        <w:t xml:space="preserve"> discussions.  No discussion ensued.</w:t>
      </w:r>
    </w:p>
    <w:p w:rsidR="00463A99" w:rsidRDefault="00463A99" w:rsidP="00463A99">
      <w:pPr>
        <w:pStyle w:val="Body"/>
      </w:pPr>
      <w:r>
        <w:t xml:space="preserve">Chairperson Chuck </w:t>
      </w:r>
      <w:proofErr w:type="spellStart"/>
      <w:r>
        <w:t>Beargie</w:t>
      </w:r>
      <w:proofErr w:type="spellEnd"/>
      <w:r>
        <w:t xml:space="preserve"> provided a verbal overview of the Task Group Scope, Checklist taxonomy, Handbook, and Handbook Appendix A.</w:t>
      </w:r>
    </w:p>
    <w:p w:rsidR="00491C84" w:rsidRDefault="00491C84" w:rsidP="00BE709F">
      <w:pPr>
        <w:pStyle w:val="Heading1"/>
      </w:pPr>
      <w:r>
        <w:t>review membership status – open</w:t>
      </w:r>
      <w:r w:rsidRPr="009610A4">
        <w:t xml:space="preserve"> </w:t>
      </w:r>
    </w:p>
    <w:p w:rsidR="00BE709F" w:rsidRDefault="00BE709F" w:rsidP="00491C84">
      <w:pPr>
        <w:pStyle w:val="Body"/>
      </w:pPr>
      <w:r w:rsidRPr="009610A4">
        <w:t xml:space="preserve">The following requests for </w:t>
      </w:r>
      <w:r w:rsidR="009F7595">
        <w:t xml:space="preserve">additions or changes to </w:t>
      </w:r>
      <w:r w:rsidRPr="009610A4">
        <w:t>voting membership were received</w:t>
      </w:r>
      <w:r>
        <w:t xml:space="preserve"> and confirmed by the Task Group Chairperson pending verification</w:t>
      </w:r>
      <w:r w:rsidRPr="00CB3A67">
        <w:t xml:space="preserve"> </w:t>
      </w:r>
      <w:r>
        <w:t>of PD 1100 requirements</w:t>
      </w:r>
      <w:r w:rsidRPr="009610A4">
        <w:t>:</w:t>
      </w:r>
    </w:p>
    <w:p w:rsidR="00021222" w:rsidRDefault="00021222" w:rsidP="004F1E64">
      <w:pPr>
        <w:pStyle w:val="ListParagraph"/>
        <w:numPr>
          <w:ilvl w:val="0"/>
          <w:numId w:val="3"/>
        </w:numPr>
      </w:pPr>
      <w:r>
        <w:t>Subscriber Voting Member: UVM</w:t>
      </w:r>
    </w:p>
    <w:p w:rsidR="00021222" w:rsidRDefault="00021222" w:rsidP="004F1E64">
      <w:pPr>
        <w:pStyle w:val="ListParagraph"/>
        <w:numPr>
          <w:ilvl w:val="0"/>
          <w:numId w:val="3"/>
        </w:numPr>
      </w:pPr>
      <w:r>
        <w:t>Supplier Voting Member: SVM</w:t>
      </w:r>
    </w:p>
    <w:p w:rsidR="006227ED" w:rsidRPr="009610A4" w:rsidRDefault="00021222" w:rsidP="006A376C">
      <w:pPr>
        <w:pStyle w:val="ListParagraph"/>
        <w:numPr>
          <w:ilvl w:val="0"/>
          <w:numId w:val="3"/>
        </w:numPr>
      </w:pPr>
      <w:r>
        <w:t>Alternate: ALT</w:t>
      </w:r>
    </w:p>
    <w:tbl>
      <w:tblPr>
        <w:tblW w:w="9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1511"/>
        <w:gridCol w:w="3510"/>
        <w:gridCol w:w="1530"/>
        <w:gridCol w:w="1027"/>
        <w:gridCol w:w="990"/>
      </w:tblGrid>
      <w:tr w:rsidR="00BE709F" w:rsidRPr="009610A4" w:rsidTr="001A6412">
        <w:trPr>
          <w:trHeight w:val="548"/>
        </w:trPr>
        <w:tc>
          <w:tcPr>
            <w:tcW w:w="1004" w:type="dxa"/>
            <w:shd w:val="clear" w:color="auto" w:fill="auto"/>
          </w:tcPr>
          <w:p w:rsidR="00BE709F" w:rsidRPr="009610A4" w:rsidRDefault="00BE709F" w:rsidP="001A6412">
            <w:pPr>
              <w:spacing w:after="0"/>
              <w:ind w:left="-30"/>
              <w:jc w:val="center"/>
              <w:rPr>
                <w:rFonts w:cs="Arial"/>
                <w:b/>
                <w:bCs/>
                <w:iCs/>
              </w:rPr>
            </w:pPr>
            <w:r w:rsidRPr="009610A4">
              <w:rPr>
                <w:rFonts w:cs="Arial"/>
                <w:b/>
                <w:bCs/>
                <w:iCs/>
              </w:rPr>
              <w:t>First Name</w:t>
            </w:r>
          </w:p>
        </w:tc>
        <w:tc>
          <w:tcPr>
            <w:tcW w:w="1511" w:type="dxa"/>
            <w:shd w:val="clear" w:color="auto" w:fill="auto"/>
          </w:tcPr>
          <w:p w:rsidR="00BE709F" w:rsidRPr="009610A4" w:rsidRDefault="00BE709F" w:rsidP="00EB1F18">
            <w:pPr>
              <w:spacing w:after="0"/>
              <w:ind w:left="-30"/>
              <w:jc w:val="center"/>
              <w:rPr>
                <w:rFonts w:cs="Arial"/>
                <w:b/>
                <w:bCs/>
                <w:iCs/>
              </w:rPr>
            </w:pPr>
            <w:r w:rsidRPr="009610A4">
              <w:rPr>
                <w:rFonts w:cs="Arial"/>
                <w:b/>
                <w:bCs/>
                <w:iCs/>
              </w:rPr>
              <w:t>Surname</w:t>
            </w:r>
          </w:p>
        </w:tc>
        <w:tc>
          <w:tcPr>
            <w:tcW w:w="3510" w:type="dxa"/>
            <w:shd w:val="clear" w:color="auto" w:fill="auto"/>
          </w:tcPr>
          <w:p w:rsidR="00BE709F" w:rsidRPr="009610A4" w:rsidRDefault="00BE709F" w:rsidP="00EB1F18">
            <w:pPr>
              <w:spacing w:after="0"/>
              <w:ind w:left="-30"/>
              <w:jc w:val="center"/>
              <w:rPr>
                <w:rFonts w:cs="Arial"/>
                <w:b/>
                <w:bCs/>
                <w:iCs/>
              </w:rPr>
            </w:pPr>
            <w:r w:rsidRPr="009610A4">
              <w:rPr>
                <w:rFonts w:cs="Arial"/>
                <w:b/>
                <w:bCs/>
                <w:iCs/>
              </w:rPr>
              <w:t>Company</w:t>
            </w:r>
          </w:p>
        </w:tc>
        <w:tc>
          <w:tcPr>
            <w:tcW w:w="1530" w:type="dxa"/>
            <w:shd w:val="clear" w:color="auto" w:fill="auto"/>
          </w:tcPr>
          <w:p w:rsidR="00EB1F18" w:rsidRDefault="00021222" w:rsidP="00EB1F18">
            <w:pPr>
              <w:spacing w:after="0"/>
              <w:ind w:left="-30"/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Position:</w:t>
            </w:r>
          </w:p>
          <w:p w:rsidR="009F7595" w:rsidRPr="009610A4" w:rsidRDefault="00EB1F18" w:rsidP="00EB1F18">
            <w:pPr>
              <w:spacing w:after="0"/>
              <w:ind w:left="-30"/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(new</w:t>
            </w:r>
            <w:r w:rsidR="009F7595">
              <w:rPr>
                <w:rFonts w:cs="Arial"/>
                <w:b/>
                <w:bCs/>
                <w:iCs/>
              </w:rPr>
              <w:t xml:space="preserve"> role)</w:t>
            </w:r>
          </w:p>
        </w:tc>
        <w:tc>
          <w:tcPr>
            <w:tcW w:w="2017" w:type="dxa"/>
            <w:gridSpan w:val="2"/>
            <w:shd w:val="clear" w:color="auto" w:fill="auto"/>
          </w:tcPr>
          <w:p w:rsidR="00BE709F" w:rsidRPr="009610A4" w:rsidRDefault="00BE709F" w:rsidP="00EB1F18">
            <w:pPr>
              <w:spacing w:after="0"/>
              <w:ind w:left="-30"/>
              <w:jc w:val="center"/>
              <w:rPr>
                <w:rFonts w:cs="Arial"/>
                <w:b/>
                <w:bCs/>
                <w:iCs/>
              </w:rPr>
            </w:pPr>
            <w:r w:rsidRPr="009610A4">
              <w:rPr>
                <w:rFonts w:cs="Arial"/>
                <w:b/>
                <w:bCs/>
                <w:iCs/>
              </w:rPr>
              <w:t>Meetings Attended</w:t>
            </w:r>
            <w:r w:rsidRPr="009610A4">
              <w:rPr>
                <w:rFonts w:cs="Arial"/>
                <w:b/>
                <w:bCs/>
                <w:iCs/>
              </w:rPr>
              <w:br/>
              <w:t>(Month/Year)</w:t>
            </w:r>
          </w:p>
        </w:tc>
      </w:tr>
      <w:tr w:rsidR="00BE709F" w:rsidRPr="009610A4" w:rsidTr="00FD5708">
        <w:trPr>
          <w:trHeight w:hRule="exact" w:val="288"/>
        </w:trPr>
        <w:tc>
          <w:tcPr>
            <w:tcW w:w="1004" w:type="dxa"/>
            <w:shd w:val="clear" w:color="auto" w:fill="auto"/>
          </w:tcPr>
          <w:p w:rsidR="00BE709F" w:rsidRPr="009610A4" w:rsidRDefault="00463A99" w:rsidP="00EB1F18">
            <w:pPr>
              <w:ind w:left="-30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 xml:space="preserve">David </w:t>
            </w:r>
          </w:p>
        </w:tc>
        <w:tc>
          <w:tcPr>
            <w:tcW w:w="1511" w:type="dxa"/>
            <w:shd w:val="clear" w:color="auto" w:fill="auto"/>
          </w:tcPr>
          <w:p w:rsidR="00BE709F" w:rsidRPr="009610A4" w:rsidRDefault="00463A99" w:rsidP="00EB1F18">
            <w:pPr>
              <w:ind w:left="-30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Thompson</w:t>
            </w:r>
          </w:p>
        </w:tc>
        <w:tc>
          <w:tcPr>
            <w:tcW w:w="3510" w:type="dxa"/>
            <w:shd w:val="clear" w:color="auto" w:fill="auto"/>
          </w:tcPr>
          <w:p w:rsidR="00BE709F" w:rsidRPr="009610A4" w:rsidRDefault="00463A99" w:rsidP="00EB1F18">
            <w:pPr>
              <w:ind w:left="-30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DCI Aerotech</w:t>
            </w:r>
          </w:p>
        </w:tc>
        <w:tc>
          <w:tcPr>
            <w:tcW w:w="1530" w:type="dxa"/>
            <w:shd w:val="clear" w:color="auto" w:fill="auto"/>
          </w:tcPr>
          <w:p w:rsidR="00BE709F" w:rsidRPr="00C86C9F" w:rsidRDefault="00463A99" w:rsidP="00EB1F18">
            <w:pPr>
              <w:ind w:left="-30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SVM</w:t>
            </w:r>
          </w:p>
        </w:tc>
        <w:tc>
          <w:tcPr>
            <w:tcW w:w="1027" w:type="dxa"/>
            <w:shd w:val="clear" w:color="auto" w:fill="auto"/>
          </w:tcPr>
          <w:p w:rsidR="00BE709F" w:rsidRPr="009610A4" w:rsidRDefault="00463A99" w:rsidP="00EB1F18">
            <w:pPr>
              <w:ind w:left="-30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10/2016</w:t>
            </w:r>
          </w:p>
        </w:tc>
        <w:tc>
          <w:tcPr>
            <w:tcW w:w="990" w:type="dxa"/>
            <w:shd w:val="clear" w:color="auto" w:fill="auto"/>
          </w:tcPr>
          <w:p w:rsidR="00BE709F" w:rsidRPr="00C9352E" w:rsidRDefault="0025164E" w:rsidP="00EB1F18">
            <w:pPr>
              <w:ind w:left="-30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02/2017</w:t>
            </w:r>
          </w:p>
        </w:tc>
      </w:tr>
      <w:tr w:rsidR="00BE709F" w:rsidRPr="009610A4" w:rsidTr="00FD5708">
        <w:trPr>
          <w:trHeight w:hRule="exact" w:val="288"/>
        </w:trPr>
        <w:tc>
          <w:tcPr>
            <w:tcW w:w="1004" w:type="dxa"/>
            <w:shd w:val="clear" w:color="auto" w:fill="auto"/>
          </w:tcPr>
          <w:p w:rsidR="00BE709F" w:rsidRPr="009610A4" w:rsidRDefault="0025164E" w:rsidP="00EB1F18">
            <w:pPr>
              <w:ind w:left="-30"/>
              <w:jc w:val="both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Serge</w:t>
            </w:r>
          </w:p>
        </w:tc>
        <w:tc>
          <w:tcPr>
            <w:tcW w:w="1511" w:type="dxa"/>
            <w:shd w:val="clear" w:color="auto" w:fill="auto"/>
          </w:tcPr>
          <w:p w:rsidR="00BE709F" w:rsidRPr="009610A4" w:rsidRDefault="00FB6F9E" w:rsidP="00EB1F18">
            <w:pPr>
              <w:ind w:left="-30"/>
              <w:rPr>
                <w:rFonts w:cs="Arial"/>
                <w:bCs/>
                <w:iCs/>
              </w:rPr>
            </w:pPr>
            <w:proofErr w:type="spellStart"/>
            <w:r>
              <w:rPr>
                <w:rFonts w:cs="Arial"/>
                <w:bCs/>
                <w:iCs/>
              </w:rPr>
              <w:t>Labbé</w:t>
            </w:r>
            <w:proofErr w:type="spellEnd"/>
          </w:p>
        </w:tc>
        <w:tc>
          <w:tcPr>
            <w:tcW w:w="3510" w:type="dxa"/>
            <w:shd w:val="clear" w:color="auto" w:fill="auto"/>
          </w:tcPr>
          <w:p w:rsidR="00BE709F" w:rsidRPr="009610A4" w:rsidRDefault="0025164E" w:rsidP="00EB1F18">
            <w:pPr>
              <w:ind w:left="-30"/>
              <w:rPr>
                <w:rFonts w:cs="Arial"/>
                <w:bCs/>
                <w:iCs/>
              </w:rPr>
            </w:pPr>
            <w:proofErr w:type="spellStart"/>
            <w:r>
              <w:rPr>
                <w:rFonts w:cs="Arial"/>
                <w:bCs/>
                <w:iCs/>
              </w:rPr>
              <w:t>Heroux-Devtek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E709F" w:rsidRPr="009610A4" w:rsidRDefault="001A6412" w:rsidP="00EB1F18">
            <w:pPr>
              <w:ind w:left="-30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 xml:space="preserve">ALT </w:t>
            </w:r>
            <w:r w:rsidR="0025164E">
              <w:rPr>
                <w:rFonts w:cs="Arial"/>
                <w:bCs/>
                <w:iCs/>
              </w:rPr>
              <w:t>UVM</w:t>
            </w:r>
          </w:p>
        </w:tc>
        <w:tc>
          <w:tcPr>
            <w:tcW w:w="1027" w:type="dxa"/>
            <w:shd w:val="clear" w:color="auto" w:fill="auto"/>
          </w:tcPr>
          <w:p w:rsidR="00BE709F" w:rsidRPr="00406713" w:rsidRDefault="0025164E" w:rsidP="00EB1F18">
            <w:pPr>
              <w:ind w:left="-30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10/2016</w:t>
            </w:r>
          </w:p>
        </w:tc>
        <w:tc>
          <w:tcPr>
            <w:tcW w:w="990" w:type="dxa"/>
            <w:shd w:val="clear" w:color="auto" w:fill="auto"/>
          </w:tcPr>
          <w:p w:rsidR="00BE709F" w:rsidRPr="00C9352E" w:rsidRDefault="0025164E" w:rsidP="00EB1F18">
            <w:pPr>
              <w:ind w:left="-30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02/2017</w:t>
            </w:r>
          </w:p>
        </w:tc>
      </w:tr>
      <w:tr w:rsidR="0025164E" w:rsidRPr="009610A4" w:rsidTr="00FD5708">
        <w:trPr>
          <w:trHeight w:hRule="exact" w:val="288"/>
        </w:trPr>
        <w:tc>
          <w:tcPr>
            <w:tcW w:w="1004" w:type="dxa"/>
            <w:shd w:val="clear" w:color="auto" w:fill="auto"/>
          </w:tcPr>
          <w:p w:rsidR="0025164E" w:rsidRDefault="0025164E" w:rsidP="00EB1F18">
            <w:pPr>
              <w:ind w:left="-30"/>
              <w:jc w:val="both"/>
              <w:rPr>
                <w:rFonts w:cs="Arial"/>
                <w:bCs/>
                <w:iCs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Yasemin</w:t>
            </w:r>
            <w:proofErr w:type="spellEnd"/>
          </w:p>
        </w:tc>
        <w:tc>
          <w:tcPr>
            <w:tcW w:w="1511" w:type="dxa"/>
            <w:shd w:val="clear" w:color="auto" w:fill="auto"/>
          </w:tcPr>
          <w:p w:rsidR="0025164E" w:rsidRDefault="0025164E" w:rsidP="00EB1F18">
            <w:pPr>
              <w:ind w:left="-30"/>
              <w:rPr>
                <w:rFonts w:cs="Arial"/>
                <w:bCs/>
                <w:iCs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Seref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0"/>
              </w:rPr>
              <w:t>Cizioglu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:rsidR="0025164E" w:rsidRDefault="0025164E" w:rsidP="00EB1F18">
            <w:pPr>
              <w:ind w:left="-30"/>
              <w:rPr>
                <w:rFonts w:cs="Arial"/>
                <w:bCs/>
                <w:iCs/>
              </w:rPr>
            </w:pPr>
            <w:r>
              <w:rPr>
                <w:rFonts w:cs="Arial"/>
                <w:color w:val="000000"/>
                <w:szCs w:val="20"/>
              </w:rPr>
              <w:t>TUSAS ENGINE INDUSTRIES INC.</w:t>
            </w:r>
          </w:p>
        </w:tc>
        <w:tc>
          <w:tcPr>
            <w:tcW w:w="1530" w:type="dxa"/>
            <w:shd w:val="clear" w:color="auto" w:fill="auto"/>
          </w:tcPr>
          <w:p w:rsidR="0025164E" w:rsidRDefault="0025164E" w:rsidP="00EB1F18">
            <w:pPr>
              <w:ind w:left="-30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SVM</w:t>
            </w:r>
          </w:p>
        </w:tc>
        <w:tc>
          <w:tcPr>
            <w:tcW w:w="1027" w:type="dxa"/>
            <w:shd w:val="clear" w:color="auto" w:fill="auto"/>
          </w:tcPr>
          <w:p w:rsidR="0025164E" w:rsidRDefault="00EB1F18" w:rsidP="00EB1F18">
            <w:pPr>
              <w:ind w:left="-30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03/2015</w:t>
            </w:r>
          </w:p>
        </w:tc>
        <w:tc>
          <w:tcPr>
            <w:tcW w:w="990" w:type="dxa"/>
            <w:shd w:val="clear" w:color="auto" w:fill="auto"/>
          </w:tcPr>
          <w:p w:rsidR="0025164E" w:rsidRDefault="0025164E" w:rsidP="00EB1F18">
            <w:pPr>
              <w:ind w:left="-30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02/2017</w:t>
            </w:r>
          </w:p>
        </w:tc>
      </w:tr>
      <w:tr w:rsidR="00412583" w:rsidRPr="009610A4" w:rsidTr="00FD5708">
        <w:trPr>
          <w:trHeight w:hRule="exact" w:val="288"/>
        </w:trPr>
        <w:tc>
          <w:tcPr>
            <w:tcW w:w="1004" w:type="dxa"/>
            <w:shd w:val="clear" w:color="auto" w:fill="auto"/>
          </w:tcPr>
          <w:p w:rsidR="00412583" w:rsidRDefault="00C250DE" w:rsidP="00EB1F18">
            <w:pPr>
              <w:ind w:left="-30"/>
              <w:jc w:val="both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Aysin</w:t>
            </w:r>
            <w:proofErr w:type="spellEnd"/>
          </w:p>
        </w:tc>
        <w:tc>
          <w:tcPr>
            <w:tcW w:w="1511" w:type="dxa"/>
            <w:shd w:val="clear" w:color="auto" w:fill="auto"/>
          </w:tcPr>
          <w:p w:rsidR="00412583" w:rsidRDefault="00C250DE" w:rsidP="00EB1F18">
            <w:pPr>
              <w:ind w:left="-3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Aras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412583" w:rsidRDefault="00C250DE" w:rsidP="00EB1F18">
            <w:pPr>
              <w:ind w:left="-3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TUSAS ENGINE INDUSTRIES INC.</w:t>
            </w:r>
          </w:p>
        </w:tc>
        <w:tc>
          <w:tcPr>
            <w:tcW w:w="1530" w:type="dxa"/>
            <w:shd w:val="clear" w:color="auto" w:fill="auto"/>
          </w:tcPr>
          <w:p w:rsidR="00412583" w:rsidRDefault="00C250DE" w:rsidP="00EB1F18">
            <w:pPr>
              <w:ind w:left="-30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ALT SVM</w:t>
            </w:r>
          </w:p>
        </w:tc>
        <w:tc>
          <w:tcPr>
            <w:tcW w:w="1027" w:type="dxa"/>
            <w:shd w:val="clear" w:color="auto" w:fill="auto"/>
          </w:tcPr>
          <w:p w:rsidR="00412583" w:rsidRDefault="00C250DE" w:rsidP="00EB1F18">
            <w:pPr>
              <w:ind w:left="-30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03/2015</w:t>
            </w:r>
          </w:p>
        </w:tc>
        <w:tc>
          <w:tcPr>
            <w:tcW w:w="990" w:type="dxa"/>
            <w:shd w:val="clear" w:color="auto" w:fill="auto"/>
          </w:tcPr>
          <w:p w:rsidR="00412583" w:rsidRDefault="00C250DE" w:rsidP="00EB1F18">
            <w:pPr>
              <w:ind w:left="-30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02/2017</w:t>
            </w:r>
          </w:p>
        </w:tc>
      </w:tr>
    </w:tbl>
    <w:p w:rsidR="00BE709F" w:rsidRDefault="00BE709F" w:rsidP="00BE709F">
      <w:pPr>
        <w:spacing w:after="0"/>
        <w:ind w:left="720"/>
      </w:pPr>
    </w:p>
    <w:p w:rsidR="00463A99" w:rsidRPr="00A00076" w:rsidRDefault="00463A99" w:rsidP="00463A99">
      <w:pPr>
        <w:pStyle w:val="Body"/>
      </w:pPr>
      <w:r w:rsidRPr="00FB6F9E">
        <w:t>Motion made by Ken Abram and seconded by John Pfeiffer to accept David Th</w:t>
      </w:r>
      <w:r w:rsidR="001A6412" w:rsidRPr="00FB6F9E">
        <w:t>ompson as a Supplier Voting Mem</w:t>
      </w:r>
      <w:r w:rsidRPr="00FB6F9E">
        <w:t>ber. Motion Passed</w:t>
      </w:r>
      <w:r w:rsidRPr="00A00076">
        <w:t>.</w:t>
      </w:r>
    </w:p>
    <w:p w:rsidR="00463A99" w:rsidRPr="00A00076" w:rsidRDefault="00463A99" w:rsidP="00463A99">
      <w:pPr>
        <w:pStyle w:val="Body"/>
      </w:pPr>
      <w:r w:rsidRPr="00FB6F9E">
        <w:t>Motion made by Ken Abram and seconded by David Thompson to accept Serge</w:t>
      </w:r>
      <w:r w:rsidR="00FB6F9E">
        <w:t xml:space="preserve"> </w:t>
      </w:r>
      <w:proofErr w:type="spellStart"/>
      <w:r w:rsidR="00FB6F9E">
        <w:t>Labbé</w:t>
      </w:r>
      <w:proofErr w:type="spellEnd"/>
      <w:r w:rsidRPr="00FB6F9E">
        <w:t xml:space="preserve"> as a</w:t>
      </w:r>
      <w:r w:rsidR="00FB6F9E">
        <w:t>n</w:t>
      </w:r>
      <w:r w:rsidRPr="00FB6F9E">
        <w:t xml:space="preserve"> </w:t>
      </w:r>
      <w:r w:rsidR="001A6412" w:rsidRPr="00FB6F9E">
        <w:t>Alternate Subscriber Voting Mem</w:t>
      </w:r>
      <w:r w:rsidRPr="00FB6F9E">
        <w:t>ber. Motion Passed</w:t>
      </w:r>
      <w:r w:rsidRPr="00A00076">
        <w:t>.</w:t>
      </w:r>
    </w:p>
    <w:p w:rsidR="00463A99" w:rsidRPr="00A00076" w:rsidRDefault="00183C24" w:rsidP="00463A99">
      <w:pPr>
        <w:pStyle w:val="Body"/>
      </w:pPr>
      <w:r w:rsidRPr="00FB6F9E">
        <w:t xml:space="preserve">Motion made by Ken Abram and seconded by John Pfeiffer to accept </w:t>
      </w:r>
      <w:proofErr w:type="spellStart"/>
      <w:r w:rsidRPr="00FB6F9E">
        <w:t>Seref</w:t>
      </w:r>
      <w:proofErr w:type="spellEnd"/>
      <w:r w:rsidRPr="00FB6F9E">
        <w:t xml:space="preserve"> </w:t>
      </w:r>
      <w:proofErr w:type="spellStart"/>
      <w:r w:rsidRPr="00FB6F9E">
        <w:t>Cizioglu</w:t>
      </w:r>
      <w:proofErr w:type="spellEnd"/>
      <w:r w:rsidR="001A6412" w:rsidRPr="00FB6F9E">
        <w:t xml:space="preserve"> as a Supplier Voting Mem</w:t>
      </w:r>
      <w:r w:rsidRPr="00FB6F9E">
        <w:t>ber. Motion Passed</w:t>
      </w:r>
      <w:r w:rsidRPr="00A00076">
        <w:t>.</w:t>
      </w:r>
    </w:p>
    <w:p w:rsidR="00FA0B5E" w:rsidRDefault="00BE709F" w:rsidP="00BE709F">
      <w:pPr>
        <w:pStyle w:val="Body"/>
      </w:pPr>
      <w:r>
        <w:t>The</w:t>
      </w:r>
      <w:r w:rsidRPr="007C56EB">
        <w:t xml:space="preserve"> </w:t>
      </w:r>
      <w:r w:rsidRPr="009F46F5">
        <w:t>compliance to voting requirements</w:t>
      </w:r>
      <w:r>
        <w:t xml:space="preserve"> </w:t>
      </w:r>
      <w:r w:rsidR="00021222">
        <w:t>per PD 110</w:t>
      </w:r>
      <w:r>
        <w:t xml:space="preserve">0 were reviewed. </w:t>
      </w:r>
      <w:r w:rsidR="001A6412">
        <w:t xml:space="preserve"> There are currently no companies </w:t>
      </w:r>
      <w:r w:rsidR="00807889">
        <w:t>on</w:t>
      </w:r>
      <w:r w:rsidR="001A6412">
        <w:t xml:space="preserve"> the Task Group that </w:t>
      </w:r>
      <w:r w:rsidR="009F7595">
        <w:t>have</w:t>
      </w:r>
      <w:r>
        <w:t xml:space="preserve"> not met requirements for </w:t>
      </w:r>
      <w:r w:rsidR="00992272">
        <w:t>maintaining their</w:t>
      </w:r>
      <w:r>
        <w:t xml:space="preserve"> voting rights</w:t>
      </w:r>
      <w:r w:rsidR="00992272">
        <w:t>.</w:t>
      </w:r>
    </w:p>
    <w:p w:rsidR="00FA0B5E" w:rsidRDefault="00491C84" w:rsidP="00FA0B5E">
      <w:pPr>
        <w:pStyle w:val="Heading1"/>
      </w:pPr>
      <w:r>
        <w:lastRenderedPageBreak/>
        <w:t>staff report – open</w:t>
      </w:r>
    </w:p>
    <w:p w:rsidR="008B52D4" w:rsidRPr="008B52D4" w:rsidRDefault="008B52D4" w:rsidP="008B52D4">
      <w:pPr>
        <w:pStyle w:val="Topicdetail"/>
        <w:numPr>
          <w:ilvl w:val="0"/>
          <w:numId w:val="0"/>
        </w:numPr>
        <w:spacing w:before="0"/>
        <w:ind w:left="720"/>
        <w:rPr>
          <w:rFonts w:eastAsiaTheme="minorHAnsi" w:cstheme="minorBidi"/>
          <w:sz w:val="20"/>
          <w:szCs w:val="22"/>
        </w:rPr>
      </w:pPr>
      <w:bookmarkStart w:id="1" w:name="_Toc393435931"/>
      <w:bookmarkStart w:id="2" w:name="_Toc424900755"/>
      <w:bookmarkStart w:id="3" w:name="_Toc435020412"/>
      <w:r>
        <w:rPr>
          <w:rFonts w:eastAsiaTheme="minorHAnsi" w:cstheme="minorBidi"/>
          <w:sz w:val="20"/>
          <w:szCs w:val="22"/>
        </w:rPr>
        <w:t xml:space="preserve">The Staff Engineer reviewed </w:t>
      </w:r>
      <w:r w:rsidRPr="008B52D4">
        <w:rPr>
          <w:rFonts w:eastAsiaTheme="minorHAnsi" w:cstheme="minorBidi"/>
          <w:sz w:val="20"/>
          <w:szCs w:val="22"/>
        </w:rPr>
        <w:t>General Task Group Metrics</w:t>
      </w:r>
      <w:bookmarkEnd w:id="1"/>
      <w:bookmarkEnd w:id="2"/>
      <w:bookmarkEnd w:id="3"/>
      <w:r>
        <w:rPr>
          <w:rFonts w:eastAsiaTheme="minorHAnsi" w:cstheme="minorBidi"/>
          <w:sz w:val="20"/>
          <w:szCs w:val="22"/>
        </w:rPr>
        <w:t xml:space="preserve">, </w:t>
      </w:r>
      <w:r w:rsidR="00FB6F9E">
        <w:rPr>
          <w:rFonts w:eastAsiaTheme="minorHAnsi" w:cstheme="minorBidi"/>
          <w:sz w:val="20"/>
          <w:szCs w:val="22"/>
        </w:rPr>
        <w:t>eliciting</w:t>
      </w:r>
      <w:r>
        <w:rPr>
          <w:rFonts w:eastAsiaTheme="minorHAnsi" w:cstheme="minorBidi"/>
          <w:sz w:val="20"/>
          <w:szCs w:val="22"/>
        </w:rPr>
        <w:t xml:space="preserve"> no discussion</w:t>
      </w:r>
      <w:r w:rsidR="006A376C">
        <w:rPr>
          <w:rFonts w:eastAsiaTheme="minorHAnsi" w:cstheme="minorBidi"/>
          <w:sz w:val="20"/>
          <w:szCs w:val="22"/>
        </w:rPr>
        <w:t>.</w:t>
      </w:r>
    </w:p>
    <w:p w:rsidR="008B52D4" w:rsidRDefault="008B52D4" w:rsidP="008B52D4">
      <w:pPr>
        <w:pStyle w:val="Body"/>
      </w:pPr>
      <w:bookmarkStart w:id="4" w:name="_Toc393435932"/>
      <w:bookmarkStart w:id="5" w:name="_Toc424900756"/>
      <w:bookmarkStart w:id="6" w:name="_Toc435020413"/>
    </w:p>
    <w:p w:rsidR="008B52D4" w:rsidRDefault="008B52D4" w:rsidP="008B52D4">
      <w:pPr>
        <w:pStyle w:val="Body"/>
      </w:pPr>
      <w:r>
        <w:t xml:space="preserve">The Staff Engineer reviewed </w:t>
      </w:r>
      <w:r w:rsidRPr="004D6E6B">
        <w:t xml:space="preserve">Key Procedure and </w:t>
      </w:r>
      <w:proofErr w:type="spellStart"/>
      <w:r w:rsidRPr="004D6E6B">
        <w:t>eAuditNet</w:t>
      </w:r>
      <w:proofErr w:type="spellEnd"/>
      <w:r w:rsidRPr="004D6E6B">
        <w:t xml:space="preserve"> Changes</w:t>
      </w:r>
      <w:bookmarkEnd w:id="4"/>
      <w:bookmarkEnd w:id="5"/>
      <w:bookmarkEnd w:id="6"/>
      <w:r w:rsidR="00147AAD">
        <w:t xml:space="preserve"> (</w:t>
      </w:r>
      <w:r w:rsidR="00702E8C">
        <w:t xml:space="preserve">PD1100, OP1102, </w:t>
      </w:r>
      <w:r w:rsidR="00147AAD">
        <w:t>OP1105</w:t>
      </w:r>
      <w:r w:rsidR="00702E8C">
        <w:t>, OP1106, OP1112, OP1114, OP1116, OP1118, OP1123, OP1124</w:t>
      </w:r>
      <w:r w:rsidR="00147AAD">
        <w:t>)</w:t>
      </w:r>
      <w:r>
        <w:t>.  There was some discussion regarding how ITAR requirements apply to information included in the pre-audit.</w:t>
      </w:r>
    </w:p>
    <w:p w:rsidR="00491C84" w:rsidRDefault="00491C84" w:rsidP="00491C84">
      <w:pPr>
        <w:pStyle w:val="Heading1"/>
      </w:pPr>
      <w:r>
        <w:t>new business – open</w:t>
      </w:r>
    </w:p>
    <w:p w:rsidR="003330A3" w:rsidRPr="003330A3" w:rsidRDefault="003330A3" w:rsidP="003330A3">
      <w:pPr>
        <w:pStyle w:val="Body"/>
      </w:pPr>
      <w:r>
        <w:t xml:space="preserve">Task Group Chairperson Chuck </w:t>
      </w:r>
      <w:proofErr w:type="spellStart"/>
      <w:r>
        <w:t>Beargie</w:t>
      </w:r>
      <w:proofErr w:type="spellEnd"/>
      <w:r>
        <w:t xml:space="preserve"> reviewed the updated requirements and guidance in the </w:t>
      </w:r>
      <w:r w:rsidR="00057072">
        <w:t>b</w:t>
      </w:r>
      <w:r>
        <w:t xml:space="preserve">ase checklist regarding Supplier Self-Audits.  </w:t>
      </w:r>
      <w:r w:rsidR="00E33636">
        <w:t>No comments were received.</w:t>
      </w:r>
    </w:p>
    <w:p w:rsidR="009E6E5E" w:rsidRDefault="009E6E5E" w:rsidP="009E6E5E">
      <w:pPr>
        <w:pStyle w:val="Heading1"/>
      </w:pPr>
      <w:r>
        <w:t>review of op 1110 failure criteria – open</w:t>
      </w:r>
    </w:p>
    <w:p w:rsidR="006A376C" w:rsidRDefault="006A376C" w:rsidP="006A376C">
      <w:pPr>
        <w:pStyle w:val="Topicdetail"/>
        <w:numPr>
          <w:ilvl w:val="0"/>
          <w:numId w:val="0"/>
        </w:numPr>
        <w:spacing w:before="0"/>
        <w:ind w:left="720"/>
        <w:rPr>
          <w:rFonts w:eastAsiaTheme="minorHAnsi" w:cstheme="minorBidi"/>
          <w:sz w:val="20"/>
          <w:szCs w:val="22"/>
        </w:rPr>
      </w:pPr>
      <w:r>
        <w:rPr>
          <w:rFonts w:eastAsiaTheme="minorHAnsi" w:cstheme="minorBidi"/>
          <w:sz w:val="20"/>
          <w:szCs w:val="22"/>
        </w:rPr>
        <w:t>The Staff Engineer presented the current Task Group Failure Criteria for annual review.</w:t>
      </w:r>
      <w:r w:rsidR="008A66C1">
        <w:rPr>
          <w:rFonts w:eastAsiaTheme="minorHAnsi" w:cstheme="minorBidi"/>
          <w:sz w:val="20"/>
          <w:szCs w:val="22"/>
        </w:rPr>
        <w:t xml:space="preserve"> The Task Group discussed how the few audits that have gone to Failure were handled, as well as the potential for recent </w:t>
      </w:r>
      <w:r w:rsidR="00057072">
        <w:rPr>
          <w:rFonts w:eastAsiaTheme="minorHAnsi" w:cstheme="minorBidi"/>
          <w:sz w:val="20"/>
          <w:szCs w:val="22"/>
        </w:rPr>
        <w:t>c</w:t>
      </w:r>
      <w:r w:rsidR="008A66C1">
        <w:rPr>
          <w:rFonts w:eastAsiaTheme="minorHAnsi" w:cstheme="minorBidi"/>
          <w:sz w:val="20"/>
          <w:szCs w:val="22"/>
        </w:rPr>
        <w:t>hecklist changes</w:t>
      </w:r>
      <w:r w:rsidR="00057072">
        <w:rPr>
          <w:rFonts w:eastAsiaTheme="minorHAnsi" w:cstheme="minorBidi"/>
          <w:sz w:val="20"/>
          <w:szCs w:val="22"/>
        </w:rPr>
        <w:t>,</w:t>
      </w:r>
      <w:r w:rsidR="008A66C1">
        <w:rPr>
          <w:rFonts w:eastAsiaTheme="minorHAnsi" w:cstheme="minorBidi"/>
          <w:sz w:val="20"/>
          <w:szCs w:val="22"/>
        </w:rPr>
        <w:t xml:space="preserve"> that might increase the average number of findings in the short term. There is consensus that the current levels remain appropriate.</w:t>
      </w:r>
    </w:p>
    <w:p w:rsidR="009E2C99" w:rsidRDefault="009E2C99" w:rsidP="006A376C">
      <w:pPr>
        <w:pStyle w:val="Topicdetail"/>
        <w:numPr>
          <w:ilvl w:val="0"/>
          <w:numId w:val="0"/>
        </w:numPr>
        <w:spacing w:before="0"/>
        <w:ind w:left="720"/>
        <w:rPr>
          <w:rFonts w:eastAsiaTheme="minorHAnsi" w:cstheme="minorBidi"/>
          <w:sz w:val="20"/>
          <w:szCs w:val="22"/>
        </w:rPr>
      </w:pPr>
    </w:p>
    <w:p w:rsidR="009E2C99" w:rsidRPr="00057072" w:rsidRDefault="009E2C99" w:rsidP="009E2C99">
      <w:pPr>
        <w:pStyle w:val="Body"/>
      </w:pPr>
      <w:r w:rsidRPr="00FB6F9E">
        <w:t>Motion made by John Pfeiffer and seconded by David Thompson to maintain the failure criteria at the current levels. Motion Passed</w:t>
      </w:r>
      <w:r w:rsidRPr="00057072">
        <w:t>.</w:t>
      </w:r>
    </w:p>
    <w:p w:rsidR="006A376C" w:rsidRPr="006A376C" w:rsidRDefault="006A376C" w:rsidP="006A376C">
      <w:pPr>
        <w:pStyle w:val="Body"/>
      </w:pPr>
    </w:p>
    <w:p w:rsidR="009E6E5E" w:rsidRDefault="009E6E5E" w:rsidP="009E6E5E">
      <w:pPr>
        <w:pStyle w:val="Heading1"/>
      </w:pPr>
      <w:r>
        <w:t>review proposed changes to the handbook, checklist, and cmsp appendix a – open</w:t>
      </w:r>
    </w:p>
    <w:p w:rsidR="00044532" w:rsidRDefault="00044532" w:rsidP="00044532">
      <w:pPr>
        <w:pStyle w:val="Body"/>
      </w:pPr>
      <w:r>
        <w:t xml:space="preserve">The Staff Engineer presented a proposed format for Appendix A, where each Subscriber’s </w:t>
      </w:r>
      <w:r w:rsidR="00FB6F9E">
        <w:t>requirements</w:t>
      </w:r>
      <w:r>
        <w:t xml:space="preserve"> are listed on a separate </w:t>
      </w:r>
      <w:r w:rsidR="00057072">
        <w:t>t</w:t>
      </w:r>
      <w:r>
        <w:t>ab of an Excel workbook.  This should facilitate both maintenance and use.  Andy</w:t>
      </w:r>
      <w:r w:rsidR="00390073">
        <w:t xml:space="preserve"> Statham</w:t>
      </w:r>
      <w:r>
        <w:t xml:space="preserve"> highlighted the feedback from </w:t>
      </w:r>
      <w:r w:rsidR="00390073">
        <w:t>a</w:t>
      </w:r>
      <w:r w:rsidR="00E33636">
        <w:t>uditors that the</w:t>
      </w:r>
      <w:r>
        <w:t xml:space="preserve"> proposal is </w:t>
      </w:r>
      <w:r w:rsidR="00E33636">
        <w:t>generally regarded as satisfactory.</w:t>
      </w:r>
      <w:r>
        <w:t xml:space="preserve">  The Task Group concurs with the proposal.</w:t>
      </w:r>
    </w:p>
    <w:p w:rsidR="00044532" w:rsidRDefault="00044532" w:rsidP="00044532">
      <w:pPr>
        <w:pStyle w:val="Body"/>
      </w:pPr>
      <w:r>
        <w:t xml:space="preserve">The Task Group requested that a template be placed in the working area that represents a current list of the </w:t>
      </w:r>
      <w:r w:rsidR="00390073">
        <w:t>c</w:t>
      </w:r>
      <w:r>
        <w:t xml:space="preserve">hecklist questions.  This will need to be updated </w:t>
      </w:r>
      <w:r w:rsidR="00390073">
        <w:t>when</w:t>
      </w:r>
      <w:r>
        <w:t xml:space="preserve"> new checklist revisions are released.</w:t>
      </w:r>
    </w:p>
    <w:p w:rsidR="00044532" w:rsidRDefault="00044532" w:rsidP="00FB6F9E">
      <w:pPr>
        <w:pStyle w:val="ActionItem"/>
      </w:pPr>
      <w:r w:rsidRPr="002912EA">
        <w:t xml:space="preserve">ACTION ITEM: </w:t>
      </w:r>
      <w:r w:rsidR="00265912">
        <w:t>Andy Statham</w:t>
      </w:r>
      <w:r w:rsidR="00265912" w:rsidRPr="002912EA">
        <w:t xml:space="preserve"> </w:t>
      </w:r>
      <w:r>
        <w:t xml:space="preserve">will </w:t>
      </w:r>
      <w:r w:rsidR="009F354E">
        <w:t>post</w:t>
      </w:r>
      <w:r>
        <w:t xml:space="preserve"> a co</w:t>
      </w:r>
      <w:r w:rsidR="00C65F5F">
        <w:t xml:space="preserve">py of the GE Aviation Appendix </w:t>
      </w:r>
      <w:r>
        <w:t xml:space="preserve">with the GE Specifications and Guidance stripped out as a template. </w:t>
      </w:r>
      <w:r w:rsidRPr="002912EA">
        <w:t xml:space="preserve"> (</w:t>
      </w:r>
      <w:r w:rsidR="00093452">
        <w:t>Complete</w:t>
      </w:r>
      <w:r w:rsidR="004862AB">
        <w:t>.</w:t>
      </w:r>
      <w:r w:rsidR="00093452">
        <w:t xml:space="preserve"> </w:t>
      </w:r>
      <w:r w:rsidR="009F354E">
        <w:t>28</w:t>
      </w:r>
      <w:r w:rsidR="00093452">
        <w:t>-Feb-2017</w:t>
      </w:r>
      <w:r w:rsidRPr="002912EA">
        <w:t>)</w:t>
      </w:r>
    </w:p>
    <w:p w:rsidR="00C250DE" w:rsidRPr="00C250DE" w:rsidRDefault="00C250DE" w:rsidP="00044532">
      <w:pPr>
        <w:pStyle w:val="Body"/>
      </w:pPr>
      <w:r>
        <w:t>The Task Group began updating AC7126/4 (M</w:t>
      </w:r>
      <w:r w:rsidR="00D82FDD">
        <w:t xml:space="preserve">illing) to match the updates previously made to </w:t>
      </w:r>
      <w:r w:rsidR="00360D97">
        <w:t>AC7126</w:t>
      </w:r>
      <w:r w:rsidR="00D82FDD">
        <w:t>/1</w:t>
      </w:r>
      <w:r w:rsidR="00360D97">
        <w:t>, AC7126</w:t>
      </w:r>
      <w:r w:rsidR="00D82FDD">
        <w:t>/5</w:t>
      </w:r>
      <w:r w:rsidR="00360D97">
        <w:t>,</w:t>
      </w:r>
      <w:r w:rsidR="00D82FDD">
        <w:t xml:space="preserve"> and to include </w:t>
      </w:r>
      <w:proofErr w:type="spellStart"/>
      <w:r w:rsidR="00D82FDD">
        <w:t>Hobbing</w:t>
      </w:r>
      <w:proofErr w:type="spellEnd"/>
      <w:r w:rsidR="00D82FDD">
        <w:t xml:space="preserve"> as a new method.</w:t>
      </w:r>
    </w:p>
    <w:p w:rsidR="00C250DE" w:rsidRDefault="00C250DE" w:rsidP="009D3162">
      <w:pPr>
        <w:pStyle w:val="Heading1"/>
        <w:numPr>
          <w:ilvl w:val="0"/>
          <w:numId w:val="12"/>
        </w:numPr>
      </w:pPr>
      <w:r>
        <w:t>Call to Order / Quorum Check</w:t>
      </w:r>
    </w:p>
    <w:p w:rsidR="00C250DE" w:rsidRDefault="00C250DE" w:rsidP="00C250DE">
      <w:pPr>
        <w:pStyle w:val="Body"/>
        <w:rPr>
          <w:b/>
        </w:rPr>
      </w:pPr>
      <w:r>
        <w:t>The Conventional Machining as a Special Process (CMSP) Task Group (TG) was called to order by Chairperson</w:t>
      </w:r>
      <w:r w:rsidRPr="00377712">
        <w:t xml:space="preserve"> Chuck </w:t>
      </w:r>
      <w:proofErr w:type="spellStart"/>
      <w:r w:rsidRPr="00377712">
        <w:t>Beargie</w:t>
      </w:r>
      <w:proofErr w:type="spellEnd"/>
      <w:r w:rsidRPr="00377712">
        <w:t xml:space="preserve"> </w:t>
      </w:r>
      <w:r>
        <w:t>at 08:05 p.m., 22-Feb-2017.  He verified that a quorum was present.</w:t>
      </w:r>
    </w:p>
    <w:p w:rsidR="00C250DE" w:rsidRPr="00360D97" w:rsidRDefault="00C250DE" w:rsidP="00C250DE">
      <w:pPr>
        <w:pStyle w:val="Body"/>
      </w:pPr>
      <w:r w:rsidRPr="00FB6F9E">
        <w:t xml:space="preserve">Motion made by John Pfeiffer and seconded by Ken Abram to accept </w:t>
      </w:r>
      <w:proofErr w:type="spellStart"/>
      <w:r w:rsidRPr="00FB6F9E">
        <w:t>Aysin</w:t>
      </w:r>
      <w:proofErr w:type="spellEnd"/>
      <w:r w:rsidRPr="00FB6F9E">
        <w:t xml:space="preserve"> Aras as an Alternate Supplier Voting Member. Motion Passed</w:t>
      </w:r>
    </w:p>
    <w:p w:rsidR="00C417E1" w:rsidRDefault="00C417E1" w:rsidP="00C417E1">
      <w:pPr>
        <w:pStyle w:val="Heading1"/>
        <w:numPr>
          <w:ilvl w:val="0"/>
          <w:numId w:val="20"/>
        </w:numPr>
      </w:pPr>
      <w:r>
        <w:lastRenderedPageBreak/>
        <w:t>review proposed changes to the handbook, checklist, and cmsp appendix a – open</w:t>
      </w:r>
    </w:p>
    <w:p w:rsidR="00FD5708" w:rsidRDefault="00FD5708" w:rsidP="00C417E1">
      <w:pPr>
        <w:pStyle w:val="Heading2"/>
        <w:numPr>
          <w:ilvl w:val="0"/>
          <w:numId w:val="0"/>
        </w:numPr>
        <w:ind w:left="720"/>
      </w:pPr>
      <w:r>
        <w:t xml:space="preserve">The Task Group reviewed the Introductory sections of the Handbook.  Safran specifications for Milling and </w:t>
      </w:r>
      <w:proofErr w:type="spellStart"/>
      <w:r>
        <w:t>Edgebreak</w:t>
      </w:r>
      <w:proofErr w:type="spellEnd"/>
      <w:r w:rsidR="00CA35ED">
        <w:t xml:space="preserve"> </w:t>
      </w:r>
      <w:r w:rsidR="00CA35ED" w:rsidRPr="00293CD9">
        <w:t>were added</w:t>
      </w:r>
      <w:r>
        <w:t xml:space="preserve"> to the Job Audit Scope Table.  A number of minor updates to wording were made.  The C.A.G. for </w:t>
      </w:r>
      <w:r w:rsidR="00360D97">
        <w:t>AC7126</w:t>
      </w:r>
      <w:r>
        <w:t xml:space="preserve">/2, </w:t>
      </w:r>
      <w:r w:rsidR="00360D97">
        <w:t>AC7126</w:t>
      </w:r>
      <w:r>
        <w:t xml:space="preserve">/3, </w:t>
      </w:r>
      <w:r w:rsidR="00360D97">
        <w:t>AC7126</w:t>
      </w:r>
      <w:r>
        <w:t xml:space="preserve">/4, &amp; </w:t>
      </w:r>
      <w:r w:rsidR="00360D97">
        <w:t>AC7126</w:t>
      </w:r>
      <w:r>
        <w:t>/6 will remain in the Handbook until t</w:t>
      </w:r>
      <w:r w:rsidR="004862AB">
        <w:t>hose slash sheets are updated.</w:t>
      </w:r>
    </w:p>
    <w:p w:rsidR="004862AB" w:rsidRPr="00044532" w:rsidRDefault="004862AB" w:rsidP="00FB6F9E">
      <w:pPr>
        <w:pStyle w:val="ActionItem"/>
      </w:pPr>
      <w:r w:rsidRPr="002912EA">
        <w:t xml:space="preserve">ACTION ITEM: </w:t>
      </w:r>
      <w:r w:rsidR="00265912">
        <w:t>Andy Statham</w:t>
      </w:r>
      <w:r w:rsidR="00265912" w:rsidRPr="002912EA">
        <w:t xml:space="preserve"> </w:t>
      </w:r>
      <w:r>
        <w:t xml:space="preserve">will post updated versions of the Handbook and Appendix A to </w:t>
      </w:r>
      <w:proofErr w:type="spellStart"/>
      <w:r>
        <w:t>eAuditNet</w:t>
      </w:r>
      <w:proofErr w:type="spellEnd"/>
      <w:r>
        <w:t xml:space="preserve">. </w:t>
      </w:r>
      <w:r w:rsidRPr="002912EA">
        <w:t xml:space="preserve"> (Due Date: </w:t>
      </w:r>
      <w:r>
        <w:t>2</w:t>
      </w:r>
      <w:r w:rsidR="009F354E">
        <w:t>8</w:t>
      </w:r>
      <w:r w:rsidRPr="002912EA">
        <w:t>-</w:t>
      </w:r>
      <w:r>
        <w:t>Feb</w:t>
      </w:r>
      <w:r w:rsidRPr="002912EA">
        <w:t>-20</w:t>
      </w:r>
      <w:r>
        <w:t>17</w:t>
      </w:r>
      <w:r w:rsidRPr="002912EA">
        <w:t>)</w:t>
      </w:r>
    </w:p>
    <w:p w:rsidR="00044532" w:rsidRDefault="00DE74FA" w:rsidP="00044532">
      <w:pPr>
        <w:pStyle w:val="Body"/>
      </w:pPr>
      <w:r>
        <w:t xml:space="preserve">The Task Group resumed </w:t>
      </w:r>
      <w:r w:rsidR="00D05459">
        <w:t xml:space="preserve">and completed </w:t>
      </w:r>
      <w:r>
        <w:t xml:space="preserve">editing </w:t>
      </w:r>
      <w:r w:rsidR="00D05459">
        <w:t xml:space="preserve">of </w:t>
      </w:r>
      <w:r>
        <w:t>AC7126/4.</w:t>
      </w:r>
    </w:p>
    <w:p w:rsidR="000E5101" w:rsidRDefault="000E5101" w:rsidP="000E5101">
      <w:pPr>
        <w:pStyle w:val="Body"/>
      </w:pPr>
      <w:r>
        <w:t xml:space="preserve">Several future updates for </w:t>
      </w:r>
      <w:r w:rsidR="00BA2688">
        <w:t>AC7126</w:t>
      </w:r>
      <w:r>
        <w:t xml:space="preserve">/1 </w:t>
      </w:r>
      <w:r w:rsidR="00BA2688">
        <w:t>(</w:t>
      </w:r>
      <w:proofErr w:type="spellStart"/>
      <w:r>
        <w:t>Holemaking</w:t>
      </w:r>
      <w:proofErr w:type="spellEnd"/>
      <w:r w:rsidR="00BA2688">
        <w:t>)</w:t>
      </w:r>
      <w:r>
        <w:t xml:space="preserve"> were proposed:</w:t>
      </w:r>
    </w:p>
    <w:p w:rsidR="000E5101" w:rsidRDefault="008C71E4" w:rsidP="000E5101">
      <w:pPr>
        <w:pStyle w:val="Body"/>
        <w:numPr>
          <w:ilvl w:val="0"/>
          <w:numId w:val="8"/>
        </w:numPr>
      </w:pPr>
      <w:r>
        <w:t xml:space="preserve">The question regarding Process Monitoring time thresholds should be moved into a </w:t>
      </w:r>
      <w:r w:rsidR="00BA2688">
        <w:t>s</w:t>
      </w:r>
      <w:r>
        <w:t>ection on Process Monitoring</w:t>
      </w:r>
      <w:r w:rsidR="00BA2688">
        <w:t>,</w:t>
      </w:r>
      <w:r>
        <w:t xml:space="preserve"> so that </w:t>
      </w:r>
      <w:r w:rsidRPr="00FB6F9E">
        <w:t>i</w:t>
      </w:r>
      <w:r w:rsidR="00293CD9" w:rsidRPr="00BA2688">
        <w:t>t</w:t>
      </w:r>
      <w:r>
        <w:t xml:space="preserve"> collapses as part of the Section NA for </w:t>
      </w:r>
      <w:r w:rsidR="00304D56">
        <w:t>s</w:t>
      </w:r>
      <w:r w:rsidR="009D5E83">
        <w:t>uppliers</w:t>
      </w:r>
      <w:r>
        <w:t xml:space="preserve"> not performing process monitoring.  This has been </w:t>
      </w:r>
      <w:r w:rsidR="00BA2688">
        <w:t>completed</w:t>
      </w:r>
      <w:r>
        <w:t xml:space="preserve"> in the </w:t>
      </w:r>
      <w:r w:rsidR="00BA2688">
        <w:t>AC7126</w:t>
      </w:r>
      <w:r>
        <w:t xml:space="preserve">/4 draft, but needs to be promulgated back to </w:t>
      </w:r>
      <w:r w:rsidR="00BA2688">
        <w:t>AC7126</w:t>
      </w:r>
      <w:r>
        <w:t>/1.</w:t>
      </w:r>
    </w:p>
    <w:p w:rsidR="000E5101" w:rsidRDefault="000E5101" w:rsidP="000E5101">
      <w:pPr>
        <w:pStyle w:val="Body"/>
        <w:numPr>
          <w:ilvl w:val="0"/>
          <w:numId w:val="8"/>
        </w:numPr>
      </w:pPr>
      <w:r>
        <w:t xml:space="preserve">AC7126/1 </w:t>
      </w:r>
      <w:proofErr w:type="spellStart"/>
      <w:r>
        <w:t>Holemaking</w:t>
      </w:r>
      <w:proofErr w:type="spellEnd"/>
      <w:r>
        <w:t xml:space="preserve"> 4.3.3 – Change “Current same” to “correct”.</w:t>
      </w:r>
    </w:p>
    <w:p w:rsidR="000C0094" w:rsidRDefault="000C0094" w:rsidP="000E5101">
      <w:pPr>
        <w:pStyle w:val="Body"/>
        <w:numPr>
          <w:ilvl w:val="0"/>
          <w:numId w:val="8"/>
        </w:numPr>
      </w:pPr>
      <w:r>
        <w:t xml:space="preserve">AC7126/1 Consider whether </w:t>
      </w:r>
      <w:r w:rsidR="00FB6F9E">
        <w:t>4.3.8.5 is</w:t>
      </w:r>
      <w:r>
        <w:t xml:space="preserve"> equivalent to 4.8.2 such that the former could be deleted?</w:t>
      </w:r>
    </w:p>
    <w:p w:rsidR="008C71E4" w:rsidRDefault="008C71E4" w:rsidP="00FB6F9E">
      <w:pPr>
        <w:pStyle w:val="ActionItem"/>
      </w:pPr>
      <w:r w:rsidRPr="002912EA">
        <w:t xml:space="preserve">ACTION ITEM: </w:t>
      </w:r>
      <w:r w:rsidR="00265912">
        <w:t>Andy Statham will</w:t>
      </w:r>
      <w:r w:rsidR="00265912" w:rsidRPr="002912EA">
        <w:t xml:space="preserve"> </w:t>
      </w:r>
      <w:r w:rsidR="00265912">
        <w:t>a</w:t>
      </w:r>
      <w:r>
        <w:t xml:space="preserve">dd </w:t>
      </w:r>
      <w:r w:rsidR="000E5101">
        <w:t>the preceding items to the</w:t>
      </w:r>
      <w:r>
        <w:t xml:space="preserve"> DCS for AC7126/1 </w:t>
      </w:r>
      <w:r w:rsidR="00BA2688">
        <w:t>(</w:t>
      </w:r>
      <w:proofErr w:type="spellStart"/>
      <w:r>
        <w:t>Holemaking</w:t>
      </w:r>
      <w:proofErr w:type="spellEnd"/>
      <w:r w:rsidR="00BA2688">
        <w:t>)</w:t>
      </w:r>
      <w:r>
        <w:t xml:space="preserve">. </w:t>
      </w:r>
      <w:r w:rsidRPr="002912EA">
        <w:t xml:space="preserve"> (Due Date: </w:t>
      </w:r>
      <w:r>
        <w:t>10</w:t>
      </w:r>
      <w:r w:rsidRPr="002912EA">
        <w:t>-</w:t>
      </w:r>
      <w:r>
        <w:t>Mar</w:t>
      </w:r>
      <w:r w:rsidRPr="002912EA">
        <w:t>-20</w:t>
      </w:r>
      <w:r>
        <w:t>17</w:t>
      </w:r>
      <w:r w:rsidRPr="002912EA">
        <w:t>)</w:t>
      </w:r>
    </w:p>
    <w:p w:rsidR="00C417E1" w:rsidRDefault="00C417E1" w:rsidP="00D05459">
      <w:pPr>
        <w:pStyle w:val="Body"/>
      </w:pPr>
    </w:p>
    <w:p w:rsidR="00D05459" w:rsidRDefault="00D05459" w:rsidP="00D05459">
      <w:pPr>
        <w:pStyle w:val="Body"/>
      </w:pPr>
      <w:r>
        <w:t xml:space="preserve">The Task Group commenced </w:t>
      </w:r>
      <w:r w:rsidR="0043179C">
        <w:t xml:space="preserve">and completed </w:t>
      </w:r>
      <w:r>
        <w:t>editing of AC7126/3 (Turning)</w:t>
      </w:r>
      <w:r w:rsidR="0043179C">
        <w:t xml:space="preserve"> and the associated Handbook section.  Changes to AC7126/3 were consistent with AC7126/4 (and by extension AC7126/1 Rev B), although there are several questions unique to AC7126/3.</w:t>
      </w:r>
    </w:p>
    <w:p w:rsidR="0043179C" w:rsidRDefault="0043179C" w:rsidP="00D05459">
      <w:pPr>
        <w:pStyle w:val="Body"/>
      </w:pPr>
      <w:r>
        <w:t>The Task Group adjourned for the day at 4:30 PM.</w:t>
      </w:r>
    </w:p>
    <w:p w:rsidR="00D24B22" w:rsidRDefault="00D24B22" w:rsidP="00D24B22">
      <w:pPr>
        <w:pStyle w:val="Heading1"/>
        <w:numPr>
          <w:ilvl w:val="0"/>
          <w:numId w:val="15"/>
        </w:numPr>
      </w:pPr>
      <w:r>
        <w:t>Call to Order / Quorum Check</w:t>
      </w:r>
    </w:p>
    <w:p w:rsidR="00D24B22" w:rsidRDefault="00D24B22" w:rsidP="00D24B22">
      <w:pPr>
        <w:pStyle w:val="Body"/>
      </w:pPr>
      <w:r>
        <w:t>The Conventional Machining as a Special Process (CMSP) Task Group (TG) was called to order by Chairperson</w:t>
      </w:r>
      <w:r w:rsidRPr="00377712">
        <w:t xml:space="preserve"> Chuck </w:t>
      </w:r>
      <w:proofErr w:type="spellStart"/>
      <w:r w:rsidRPr="00377712">
        <w:t>Beargie</w:t>
      </w:r>
      <w:proofErr w:type="spellEnd"/>
      <w:r w:rsidRPr="00377712">
        <w:t xml:space="preserve"> </w:t>
      </w:r>
      <w:r>
        <w:t>at 10:15 p.m., 23-Feb-2017.  He verified that a quorum was present.</w:t>
      </w:r>
    </w:p>
    <w:p w:rsidR="009E6E5E" w:rsidRDefault="009E6E5E" w:rsidP="00D24B22">
      <w:pPr>
        <w:pStyle w:val="Heading1"/>
        <w:numPr>
          <w:ilvl w:val="0"/>
          <w:numId w:val="16"/>
        </w:numPr>
      </w:pPr>
      <w:r>
        <w:t>meeting reports – open</w:t>
      </w:r>
    </w:p>
    <w:p w:rsidR="00D24B22" w:rsidRDefault="00D24B22" w:rsidP="00D24B22">
      <w:pPr>
        <w:pStyle w:val="Body"/>
      </w:pPr>
      <w:r>
        <w:t xml:space="preserve">Chairperson Chuck </w:t>
      </w:r>
      <w:proofErr w:type="spellStart"/>
      <w:r>
        <w:t>Beargie</w:t>
      </w:r>
      <w:proofErr w:type="spellEnd"/>
      <w:r>
        <w:t xml:space="preserve"> reviewed the Planning and Ops and the </w:t>
      </w:r>
      <w:r w:rsidR="00BA2688">
        <w:t>Nadcap Management Council (</w:t>
      </w:r>
      <w:r>
        <w:t>NMC</w:t>
      </w:r>
      <w:r w:rsidR="00BA2688">
        <w:t>)</w:t>
      </w:r>
      <w:r>
        <w:t xml:space="preserve"> meetings.</w:t>
      </w:r>
    </w:p>
    <w:p w:rsidR="00D24B22" w:rsidRPr="00044532" w:rsidRDefault="00D24B22" w:rsidP="00FB6F9E">
      <w:pPr>
        <w:pStyle w:val="ActionItem"/>
      </w:pPr>
      <w:r w:rsidRPr="002912EA">
        <w:t xml:space="preserve">ACTION ITEM: </w:t>
      </w:r>
      <w:r w:rsidR="00265912">
        <w:t>Andy Statham</w:t>
      </w:r>
      <w:r w:rsidR="00265912" w:rsidRPr="002912EA">
        <w:t xml:space="preserve"> </w:t>
      </w:r>
      <w:r>
        <w:t>to contact the Chem</w:t>
      </w:r>
      <w:r w:rsidR="00FB6F9E">
        <w:t>ical</w:t>
      </w:r>
      <w:r>
        <w:t xml:space="preserve"> Process</w:t>
      </w:r>
      <w:r w:rsidR="00FB6F9E">
        <w:t>ing</w:t>
      </w:r>
      <w:r>
        <w:t xml:space="preserve"> Task Group to get a copy of their definitions regarding Calibration, Qualification, </w:t>
      </w:r>
      <w:r w:rsidR="009F354E">
        <w:t>Verification</w:t>
      </w:r>
      <w:r>
        <w:t xml:space="preserve"> and forward </w:t>
      </w:r>
      <w:r w:rsidR="009F354E">
        <w:t xml:space="preserve">it </w:t>
      </w:r>
      <w:r>
        <w:t xml:space="preserve">to the team. </w:t>
      </w:r>
      <w:r w:rsidRPr="002912EA">
        <w:t xml:space="preserve"> (Due Date: </w:t>
      </w:r>
      <w:r>
        <w:t>10</w:t>
      </w:r>
      <w:r w:rsidRPr="002912EA">
        <w:t>-</w:t>
      </w:r>
      <w:r>
        <w:t>Mar</w:t>
      </w:r>
      <w:r w:rsidRPr="002912EA">
        <w:t>-20</w:t>
      </w:r>
      <w:r>
        <w:t>17</w:t>
      </w:r>
      <w:r w:rsidRPr="002912EA">
        <w:t>)</w:t>
      </w:r>
    </w:p>
    <w:p w:rsidR="00D24B22" w:rsidRDefault="00D24B22" w:rsidP="00FB6F9E">
      <w:pPr>
        <w:pStyle w:val="ActionItem"/>
      </w:pPr>
      <w:r w:rsidRPr="002912EA">
        <w:t xml:space="preserve">ACTION ITEM: </w:t>
      </w:r>
      <w:r w:rsidR="00265912">
        <w:t xml:space="preserve">Andy Statham </w:t>
      </w:r>
      <w:r>
        <w:t>to contact the Standardization Committee Chair</w:t>
      </w:r>
      <w:r w:rsidR="009A0EE4">
        <w:t>person</w:t>
      </w:r>
      <w:r>
        <w:t xml:space="preserve"> for information on the process they are developing for Auditor Improvement. </w:t>
      </w:r>
      <w:r w:rsidRPr="002912EA">
        <w:t xml:space="preserve"> (Due Date: </w:t>
      </w:r>
      <w:r>
        <w:t>10</w:t>
      </w:r>
      <w:r w:rsidRPr="002912EA">
        <w:t>-</w:t>
      </w:r>
      <w:r>
        <w:t>Mar</w:t>
      </w:r>
      <w:r w:rsidRPr="002912EA">
        <w:t>-20</w:t>
      </w:r>
      <w:r>
        <w:t>17</w:t>
      </w:r>
      <w:r w:rsidRPr="002912EA">
        <w:t>)</w:t>
      </w:r>
    </w:p>
    <w:p w:rsidR="009E6E5E" w:rsidRDefault="009E6E5E" w:rsidP="009E6E5E">
      <w:pPr>
        <w:pStyle w:val="Heading1"/>
      </w:pPr>
      <w:r>
        <w:t>plan next meeting – open</w:t>
      </w:r>
    </w:p>
    <w:p w:rsidR="00A27A91" w:rsidRDefault="00757D91" w:rsidP="00A27A91">
      <w:pPr>
        <w:pStyle w:val="Body"/>
      </w:pPr>
      <w:r>
        <w:t xml:space="preserve">An </w:t>
      </w:r>
      <w:r w:rsidR="00ED6BAC">
        <w:t>a</w:t>
      </w:r>
      <w:r>
        <w:t xml:space="preserve">genda for the </w:t>
      </w:r>
      <w:r w:rsidR="009A0EE4">
        <w:t xml:space="preserve">June 2017 Nadcap Meeting in </w:t>
      </w:r>
      <w:r>
        <w:t>Berlin</w:t>
      </w:r>
      <w:r w:rsidR="009A0EE4">
        <w:t>, Germany</w:t>
      </w:r>
      <w:r>
        <w:t xml:space="preserve"> was drafted.  The meeting will be 3 days (Tuesday – Thursday) with</w:t>
      </w:r>
      <w:r w:rsidR="00E33636">
        <w:t xml:space="preserve"> all of</w:t>
      </w:r>
      <w:r>
        <w:t xml:space="preserve"> Tuesday being a Closed session.</w:t>
      </w:r>
    </w:p>
    <w:p w:rsidR="00757D91" w:rsidRPr="00821F39" w:rsidRDefault="00757D91" w:rsidP="00A27A91">
      <w:pPr>
        <w:pStyle w:val="Body"/>
        <w:rPr>
          <w:u w:val="single"/>
        </w:rPr>
      </w:pPr>
      <w:r w:rsidRPr="00821F39">
        <w:rPr>
          <w:u w:val="single"/>
        </w:rPr>
        <w:t>Telecons</w:t>
      </w:r>
      <w:r w:rsidR="00943FF8">
        <w:rPr>
          <w:u w:val="single"/>
        </w:rPr>
        <w:t xml:space="preserve"> (Open meetings)</w:t>
      </w:r>
      <w:r w:rsidRPr="00821F39">
        <w:rPr>
          <w:u w:val="single"/>
        </w:rPr>
        <w:t>:</w:t>
      </w:r>
    </w:p>
    <w:p w:rsidR="00821F39" w:rsidRDefault="00821F39" w:rsidP="00821F39">
      <w:pPr>
        <w:pStyle w:val="Body"/>
        <w:numPr>
          <w:ilvl w:val="0"/>
          <w:numId w:val="17"/>
        </w:numPr>
        <w:spacing w:after="0"/>
      </w:pPr>
      <w:r>
        <w:lastRenderedPageBreak/>
        <w:t xml:space="preserve">Monday </w:t>
      </w:r>
      <w:r w:rsidR="00E978CE">
        <w:t>13-Mar-</w:t>
      </w:r>
      <w:r w:rsidR="00FB6F9E">
        <w:t>2017</w:t>
      </w:r>
      <w:r w:rsidR="00FB6F9E">
        <w:rPr>
          <w:vertAlign w:val="superscript"/>
        </w:rPr>
        <w:t xml:space="preserve"> (</w:t>
      </w:r>
      <w:r w:rsidRPr="00821F39">
        <w:t>10:30 Eastern US time)</w:t>
      </w:r>
    </w:p>
    <w:p w:rsidR="00821F39" w:rsidRDefault="00821F39" w:rsidP="00821F39">
      <w:pPr>
        <w:pStyle w:val="Body"/>
        <w:numPr>
          <w:ilvl w:val="0"/>
          <w:numId w:val="17"/>
        </w:numPr>
        <w:spacing w:after="0"/>
      </w:pPr>
      <w:r>
        <w:t xml:space="preserve">Monday </w:t>
      </w:r>
      <w:r w:rsidR="00E978CE">
        <w:t>24-Apr-2017</w:t>
      </w:r>
      <w:r>
        <w:t xml:space="preserve"> (10:00 Eastern US time)</w:t>
      </w:r>
    </w:p>
    <w:p w:rsidR="00821F39" w:rsidRDefault="00821F39" w:rsidP="00821F39">
      <w:pPr>
        <w:pStyle w:val="Body"/>
        <w:numPr>
          <w:ilvl w:val="0"/>
          <w:numId w:val="17"/>
        </w:numPr>
        <w:spacing w:after="0"/>
      </w:pPr>
      <w:r>
        <w:t xml:space="preserve">Monday </w:t>
      </w:r>
      <w:r w:rsidR="00E978CE">
        <w:t>15-May-2017</w:t>
      </w:r>
      <w:r>
        <w:t xml:space="preserve"> (10:00 Eastern US time)</w:t>
      </w:r>
    </w:p>
    <w:p w:rsidR="00821F39" w:rsidRDefault="00821F39" w:rsidP="00821F39">
      <w:pPr>
        <w:pStyle w:val="Body"/>
        <w:spacing w:after="0"/>
      </w:pPr>
    </w:p>
    <w:p w:rsidR="00821F39" w:rsidRDefault="00821F39" w:rsidP="00FB6F9E">
      <w:pPr>
        <w:pStyle w:val="ActionItem"/>
      </w:pPr>
      <w:r w:rsidRPr="002912EA">
        <w:t xml:space="preserve">ACTION ITEM: </w:t>
      </w:r>
      <w:r w:rsidR="00265912">
        <w:t xml:space="preserve">Ken Abram </w:t>
      </w:r>
      <w:r>
        <w:t xml:space="preserve">and </w:t>
      </w:r>
      <w:r w:rsidR="00265912">
        <w:t>Andy Statham</w:t>
      </w:r>
      <w:r>
        <w:t xml:space="preserve">– Ken to provide David Gil’s e-mail address to Andy, who will add David to the invitation list for the telecons. </w:t>
      </w:r>
      <w:r w:rsidRPr="002912EA">
        <w:t xml:space="preserve"> (Due Date: </w:t>
      </w:r>
      <w:r>
        <w:t>10</w:t>
      </w:r>
      <w:r w:rsidRPr="002912EA">
        <w:t>-</w:t>
      </w:r>
      <w:r>
        <w:t>Mar</w:t>
      </w:r>
      <w:r w:rsidRPr="002912EA">
        <w:t>-20</w:t>
      </w:r>
      <w:r>
        <w:t>17</w:t>
      </w:r>
      <w:r w:rsidRPr="002912EA">
        <w:t>)</w:t>
      </w:r>
    </w:p>
    <w:p w:rsidR="00821F39" w:rsidRPr="00A27A91" w:rsidRDefault="00821F39" w:rsidP="00821F39">
      <w:pPr>
        <w:pStyle w:val="Body"/>
        <w:spacing w:after="0"/>
      </w:pPr>
    </w:p>
    <w:p w:rsidR="009E6E5E" w:rsidRDefault="009E6E5E" w:rsidP="009E6E5E">
      <w:pPr>
        <w:pStyle w:val="Heading1"/>
      </w:pPr>
      <w:r>
        <w:t xml:space="preserve">review </w:t>
      </w:r>
      <w:r w:rsidR="00E978CE">
        <w:t>Rolling action item list (</w:t>
      </w:r>
      <w:r>
        <w:t>rail</w:t>
      </w:r>
      <w:r w:rsidR="00E978CE">
        <w:t>)</w:t>
      </w:r>
      <w:r>
        <w:t xml:space="preserve"> &amp; parking lot – open</w:t>
      </w:r>
    </w:p>
    <w:p w:rsidR="00221028" w:rsidRDefault="00221028" w:rsidP="00221028">
      <w:pPr>
        <w:pStyle w:val="Body"/>
      </w:pPr>
      <w:r>
        <w:t>The Staff Engineer and Task Group reviewed and updated the RAIL and Parking Lot.</w:t>
      </w:r>
    </w:p>
    <w:p w:rsidR="00C417E1" w:rsidRDefault="00C417E1" w:rsidP="00C417E1">
      <w:pPr>
        <w:pStyle w:val="Heading1"/>
        <w:numPr>
          <w:ilvl w:val="0"/>
          <w:numId w:val="20"/>
        </w:numPr>
      </w:pPr>
      <w:r>
        <w:t>review proposed changes to the handbook, checklist, and cmsp appendix a – open</w:t>
      </w:r>
    </w:p>
    <w:p w:rsidR="00C417E1" w:rsidRDefault="00C417E1" w:rsidP="00C417E1">
      <w:pPr>
        <w:pStyle w:val="Body"/>
      </w:pPr>
      <w:r>
        <w:t xml:space="preserve">The Task Group reviewed and updated AC7126/2 Broaching to make it consistent with recent updates to </w:t>
      </w:r>
      <w:r w:rsidR="00E978CE">
        <w:t>AC7126</w:t>
      </w:r>
      <w:r>
        <w:t xml:space="preserve">/1, </w:t>
      </w:r>
      <w:r w:rsidR="00E978CE">
        <w:t>AC7126</w:t>
      </w:r>
      <w:r>
        <w:t xml:space="preserve">/3, &amp; </w:t>
      </w:r>
      <w:r w:rsidR="00E978CE">
        <w:t>AC7126</w:t>
      </w:r>
      <w:r>
        <w:t>/4.   The corresponding Handbook section was also updated.</w:t>
      </w:r>
    </w:p>
    <w:p w:rsidR="009F354E" w:rsidRPr="00044532" w:rsidRDefault="009F354E" w:rsidP="00FB6F9E">
      <w:pPr>
        <w:pStyle w:val="ActionItem"/>
      </w:pPr>
      <w:r w:rsidRPr="002912EA">
        <w:t xml:space="preserve">ACTION ITEM: </w:t>
      </w:r>
      <w:r w:rsidR="001D4C91">
        <w:t>Andy Statham</w:t>
      </w:r>
      <w:r w:rsidR="001D4C91" w:rsidRPr="002912EA">
        <w:t xml:space="preserve"> </w:t>
      </w:r>
      <w:r>
        <w:t xml:space="preserve">will check the DCS for items pertaining to </w:t>
      </w:r>
      <w:r w:rsidR="00806A51">
        <w:t>AC7126</w:t>
      </w:r>
      <w:r>
        <w:t xml:space="preserve">/2, </w:t>
      </w:r>
      <w:r w:rsidR="00806A51">
        <w:t>AC7126</w:t>
      </w:r>
      <w:r>
        <w:t xml:space="preserve">/3, and </w:t>
      </w:r>
      <w:r w:rsidR="00806A51">
        <w:t>AC7126</w:t>
      </w:r>
      <w:r>
        <w:t xml:space="preserve">/4.  Items that are administrative shall be incorporated prior to sending the drafts to ballot.  Non-administrative items shall be “discussed” by the Task Group </w:t>
      </w:r>
      <w:r w:rsidR="00FB6F9E">
        <w:t>prior</w:t>
      </w:r>
      <w:r>
        <w:t xml:space="preserve"> to balloting, either by e-mail or Link Call.  </w:t>
      </w:r>
      <w:r w:rsidRPr="002912EA">
        <w:t xml:space="preserve"> (Due Date: </w:t>
      </w:r>
      <w:r>
        <w:t>31-Mar</w:t>
      </w:r>
      <w:r w:rsidRPr="002912EA">
        <w:t>-20</w:t>
      </w:r>
      <w:r>
        <w:t>17</w:t>
      </w:r>
      <w:r w:rsidRPr="002912EA">
        <w:t>)</w:t>
      </w:r>
    </w:p>
    <w:p w:rsidR="00C417E1" w:rsidRDefault="00C417E1" w:rsidP="00FB6F9E">
      <w:pPr>
        <w:pStyle w:val="ActionItem"/>
      </w:pPr>
      <w:r w:rsidRPr="002912EA">
        <w:t xml:space="preserve">ACTION ITEM: </w:t>
      </w:r>
      <w:r w:rsidR="001D4C91">
        <w:t>Andy Statham</w:t>
      </w:r>
      <w:r w:rsidR="001D4C91" w:rsidRPr="002912EA">
        <w:t xml:space="preserve"> </w:t>
      </w:r>
      <w:r>
        <w:t>will post updated d</w:t>
      </w:r>
      <w:r w:rsidR="009F354E">
        <w:t>raf</w:t>
      </w:r>
      <w:r>
        <w:t xml:space="preserve">t versions </w:t>
      </w:r>
      <w:r w:rsidR="009F354E">
        <w:t xml:space="preserve">of </w:t>
      </w:r>
      <w:r>
        <w:t xml:space="preserve">AC7126/2, AC7126/3, and AC7126/4 for ballot. </w:t>
      </w:r>
      <w:r w:rsidRPr="002912EA">
        <w:t xml:space="preserve"> (Due Date: </w:t>
      </w:r>
      <w:r>
        <w:t>31</w:t>
      </w:r>
      <w:r w:rsidRPr="002912EA">
        <w:t>-</w:t>
      </w:r>
      <w:r>
        <w:t>Mar</w:t>
      </w:r>
      <w:r w:rsidRPr="002912EA">
        <w:t>-20</w:t>
      </w:r>
      <w:r>
        <w:t>17</w:t>
      </w:r>
      <w:r w:rsidRPr="002912EA">
        <w:t>)</w:t>
      </w:r>
    </w:p>
    <w:p w:rsidR="009E6E5E" w:rsidRPr="009E6E5E" w:rsidRDefault="009E6E5E" w:rsidP="00C417E1">
      <w:pPr>
        <w:pStyle w:val="Heading1"/>
        <w:numPr>
          <w:ilvl w:val="0"/>
          <w:numId w:val="19"/>
        </w:numPr>
      </w:pPr>
      <w:r>
        <w:t>review new action items – open</w:t>
      </w:r>
    </w:p>
    <w:p w:rsidR="00047BD8" w:rsidRDefault="00333660" w:rsidP="00333660">
      <w:pPr>
        <w:ind w:left="810"/>
      </w:pPr>
      <w:r>
        <w:t>The remaining members of the Task Group reviewed and agreed with the Action Items noted herein</w:t>
      </w:r>
      <w:r w:rsidR="00FD22F5">
        <w:t>.</w:t>
      </w:r>
    </w:p>
    <w:p w:rsidR="00C417E1" w:rsidRPr="00806A51" w:rsidRDefault="00C417E1" w:rsidP="00C417E1">
      <w:pPr>
        <w:pStyle w:val="Body"/>
      </w:pPr>
      <w:r w:rsidRPr="00FB6F9E">
        <w:t xml:space="preserve">Motion made by John Pfeiffer and seconded by Ken Abram to adjourn. </w:t>
      </w:r>
    </w:p>
    <w:p w:rsidR="00FA0B5E" w:rsidRDefault="00FA0B5E" w:rsidP="00272E48">
      <w:r>
        <w:t xml:space="preserve">ADJOURNMENT – </w:t>
      </w:r>
      <w:r w:rsidR="00A11E64">
        <w:t>Thursday 23-Feb-2017</w:t>
      </w:r>
      <w:r>
        <w:t xml:space="preserve"> – Meeting was adjourned at </w:t>
      </w:r>
      <w:r w:rsidR="00A11E64">
        <w:t>3:</w:t>
      </w:r>
      <w:r w:rsidR="009F354E">
        <w:t>58</w:t>
      </w:r>
      <w:r>
        <w:t xml:space="preserve"> p.m.</w:t>
      </w:r>
    </w:p>
    <w:p w:rsidR="00FA0B5E" w:rsidRDefault="00FA0B5E" w:rsidP="00272E48">
      <w:pPr>
        <w:pStyle w:val="Body"/>
      </w:pPr>
      <w:r>
        <w:t xml:space="preserve">Minutes Prepared by: </w:t>
      </w:r>
      <w:r w:rsidR="00A11E64">
        <w:t>John Pfeiffer, john.pfeiffer@ge.com</w:t>
      </w:r>
    </w:p>
    <w:p w:rsidR="00FA0B5E" w:rsidRDefault="00FA0B5E" w:rsidP="00FA0B5E"/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72E48" w:rsidRPr="00272E48" w:rsidTr="00B07504">
        <w:tc>
          <w:tcPr>
            <w:tcW w:w="9576" w:type="dxa"/>
            <w:gridSpan w:val="3"/>
            <w:shd w:val="clear" w:color="auto" w:fill="F2F2F2" w:themeFill="background1" w:themeFillShade="F2"/>
          </w:tcPr>
          <w:p w:rsidR="00272E48" w:rsidRDefault="00272E48" w:rsidP="004E7B29"/>
          <w:p w:rsidR="00272E48" w:rsidRDefault="00272E48" w:rsidP="00272E48">
            <w:pPr>
              <w:jc w:val="center"/>
            </w:pPr>
            <w:r w:rsidRPr="00272E48">
              <w:t>***** For PRI Staff use only: ******</w:t>
            </w:r>
          </w:p>
          <w:p w:rsidR="00272E48" w:rsidRDefault="00272E48" w:rsidP="004E7B29"/>
          <w:p w:rsidR="00272E48" w:rsidRDefault="00272E48" w:rsidP="004E7B29">
            <w:r w:rsidRPr="00272E48">
              <w:t>Are procedural/form changes required based on changes/actions approved during this meeting? (select one)</w:t>
            </w:r>
          </w:p>
          <w:p w:rsidR="00272E48" w:rsidRDefault="00272E48" w:rsidP="004E7B29"/>
          <w:p w:rsidR="00272E48" w:rsidRDefault="00272E48" w:rsidP="00866C8D">
            <w:pPr>
              <w:jc w:val="center"/>
            </w:pPr>
            <w:r w:rsidRPr="00272E48">
              <w:t xml:space="preserve">YES*  </w:t>
            </w:r>
            <w:sdt>
              <w:sdtPr>
                <w:id w:val="-12222884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5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6C8D">
              <w:t xml:space="preserve">   </w:t>
            </w:r>
            <w:r w:rsidRPr="00272E48">
              <w:t xml:space="preserve">NO  </w:t>
            </w:r>
            <w:sdt>
              <w:sdtPr>
                <w:id w:val="-111166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72E48" w:rsidRDefault="00272E48" w:rsidP="004E7B29"/>
          <w:p w:rsidR="00272E48" w:rsidRPr="00272E48" w:rsidRDefault="00272E48" w:rsidP="004E7B29">
            <w:r w:rsidRPr="00272E48">
              <w:t>*If yes, the following information is required:</w:t>
            </w:r>
          </w:p>
        </w:tc>
      </w:tr>
      <w:tr w:rsidR="00272E48" w:rsidRPr="00272E48" w:rsidTr="00272E48">
        <w:tc>
          <w:tcPr>
            <w:tcW w:w="3192" w:type="dxa"/>
            <w:shd w:val="clear" w:color="auto" w:fill="F2F2F2" w:themeFill="background1" w:themeFillShade="F2"/>
          </w:tcPr>
          <w:p w:rsidR="00272E48" w:rsidRPr="00272E48" w:rsidRDefault="00272E48" w:rsidP="004E7B29">
            <w:r w:rsidRPr="00272E48">
              <w:t>Documents requiring revision: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272E48" w:rsidRPr="00272E48" w:rsidRDefault="00272E48" w:rsidP="004E7B29">
            <w:r w:rsidRPr="00272E48">
              <w:t>Who is responsible: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272E48" w:rsidRPr="00272E48" w:rsidRDefault="00272E48" w:rsidP="004E7B29">
            <w:r w:rsidRPr="00272E48">
              <w:t>Due date:</w:t>
            </w:r>
          </w:p>
        </w:tc>
      </w:tr>
      <w:tr w:rsidR="00272E48" w:rsidRPr="00272E48" w:rsidTr="00272E48">
        <w:tc>
          <w:tcPr>
            <w:tcW w:w="3192" w:type="dxa"/>
            <w:shd w:val="clear" w:color="auto" w:fill="F2F2F2" w:themeFill="background1" w:themeFillShade="F2"/>
          </w:tcPr>
          <w:p w:rsidR="00272E48" w:rsidRPr="00272E48" w:rsidRDefault="00D07DFC" w:rsidP="004E7B29">
            <w:r>
              <w:t>DCS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272E48" w:rsidRPr="00272E48" w:rsidRDefault="00D07DFC" w:rsidP="004E7B29">
            <w:r>
              <w:t xml:space="preserve">Staff Engineer 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272E48" w:rsidRPr="00272E48" w:rsidRDefault="00D07DFC" w:rsidP="004E7B29">
            <w:r>
              <w:t>July 2017</w:t>
            </w:r>
          </w:p>
        </w:tc>
      </w:tr>
      <w:tr w:rsidR="00272E48" w:rsidRPr="00272E48" w:rsidTr="00272E48">
        <w:tc>
          <w:tcPr>
            <w:tcW w:w="3192" w:type="dxa"/>
            <w:shd w:val="clear" w:color="auto" w:fill="F2F2F2" w:themeFill="background1" w:themeFillShade="F2"/>
          </w:tcPr>
          <w:p w:rsidR="00272E48" w:rsidRPr="00272E48" w:rsidRDefault="00272E48" w:rsidP="004E7B29"/>
        </w:tc>
        <w:tc>
          <w:tcPr>
            <w:tcW w:w="3192" w:type="dxa"/>
            <w:shd w:val="clear" w:color="auto" w:fill="F2F2F2" w:themeFill="background1" w:themeFillShade="F2"/>
          </w:tcPr>
          <w:p w:rsidR="00272E48" w:rsidRPr="00272E48" w:rsidRDefault="00272E48" w:rsidP="004E7B29"/>
        </w:tc>
        <w:tc>
          <w:tcPr>
            <w:tcW w:w="3192" w:type="dxa"/>
            <w:shd w:val="clear" w:color="auto" w:fill="F2F2F2" w:themeFill="background1" w:themeFillShade="F2"/>
          </w:tcPr>
          <w:p w:rsidR="00272E48" w:rsidRPr="00272E48" w:rsidRDefault="00272E48" w:rsidP="004E7B29"/>
        </w:tc>
      </w:tr>
    </w:tbl>
    <w:p w:rsidR="00FA0B5E" w:rsidRDefault="00FA0B5E" w:rsidP="00FA0B5E"/>
    <w:sectPr w:rsidR="00FA0B5E" w:rsidSect="00866C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21A" w:rsidRDefault="0007721A" w:rsidP="00FC3F1E">
      <w:pPr>
        <w:spacing w:after="0"/>
      </w:pPr>
      <w:r>
        <w:separator/>
      </w:r>
    </w:p>
  </w:endnote>
  <w:endnote w:type="continuationSeparator" w:id="0">
    <w:p w:rsidR="0007721A" w:rsidRDefault="0007721A" w:rsidP="00FC3F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9A" w:rsidRDefault="009B57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9A" w:rsidRDefault="009B57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9A" w:rsidRDefault="009B5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21A" w:rsidRDefault="0007721A" w:rsidP="00FC3F1E">
      <w:pPr>
        <w:spacing w:after="0"/>
      </w:pPr>
      <w:r>
        <w:separator/>
      </w:r>
    </w:p>
  </w:footnote>
  <w:footnote w:type="continuationSeparator" w:id="0">
    <w:p w:rsidR="0007721A" w:rsidRDefault="0007721A" w:rsidP="00FC3F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747" w:rsidRDefault="009B579A">
    <w:pPr>
      <w:pStyle w:val="Header"/>
    </w:pPr>
    <w:r>
      <w:rPr>
        <w:noProof/>
      </w:rPr>
      <w:pict w14:anchorId="267D8A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16887" o:spid="_x0000_s2050" type="#_x0000_t136" style="position:absolute;left:0;text-align:left;margin-left:0;margin-top:0;width:571.8pt;height:8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FIRM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F1E" w:rsidRDefault="00A01EEA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71D1D68" wp14:editId="2BA79AA3">
          <wp:simplePos x="0" y="0"/>
          <wp:positionH relativeFrom="column">
            <wp:posOffset>-781049</wp:posOffset>
          </wp:positionH>
          <wp:positionV relativeFrom="paragraph">
            <wp:posOffset>-314325</wp:posOffset>
          </wp:positionV>
          <wp:extent cx="2057400" cy="80361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803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79A">
      <w:rPr>
        <w:noProof/>
      </w:rPr>
      <w:pict w14:anchorId="267D8A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16888" o:spid="_x0000_s2051" type="#_x0000_t136" style="position:absolute;left:0;text-align:left;margin-left:0;margin-top:0;width:571.8pt;height:8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FIRMED"/>
          <w10:wrap anchorx="margin" anchory="margin"/>
        </v:shape>
      </w:pict>
    </w:r>
    <w:r w:rsidR="000C06B0">
      <w:t>C</w:t>
    </w:r>
    <w:r w:rsidR="00B024A7">
      <w:t>ONVENTIONAL MACHINING AS A SPECIAL PROCESS</w:t>
    </w:r>
  </w:p>
  <w:p w:rsidR="00FC3F1E" w:rsidRDefault="00B024A7">
    <w:pPr>
      <w:pStyle w:val="Header"/>
    </w:pPr>
    <w:r>
      <w:t>FEBRUARY 2017</w:t>
    </w:r>
  </w:p>
  <w:p w:rsidR="00FC3F1E" w:rsidRDefault="00BE288D">
    <w:pPr>
      <w:pStyle w:val="Header"/>
    </w:pPr>
    <w:r>
      <w:t>UNCONFIRMED</w:t>
    </w:r>
  </w:p>
  <w:p w:rsidR="00BE288D" w:rsidRDefault="00BE28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747" w:rsidRDefault="009B579A">
    <w:pPr>
      <w:pStyle w:val="Header"/>
    </w:pPr>
    <w:r>
      <w:rPr>
        <w:noProof/>
      </w:rPr>
      <w:pict w14:anchorId="267D8A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16886" o:spid="_x0000_s2049" type="#_x0000_t136" style="position:absolute;left:0;text-align:left;margin-left:0;margin-top:0;width:571.8pt;height:8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FIRM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1E8D"/>
    <w:multiLevelType w:val="multilevel"/>
    <w:tmpl w:val="8EC0C3C2"/>
    <w:lvl w:ilvl="0">
      <w:start w:val="1"/>
      <w:numFmt w:val="decimal"/>
      <w:pStyle w:val="Topic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Topicdetail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ub-Topic"/>
      <w:lvlText w:val="%1.%2%3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Sub-TopicDetail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7F1A01"/>
    <w:multiLevelType w:val="hybridMultilevel"/>
    <w:tmpl w:val="A23C7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652C2"/>
    <w:multiLevelType w:val="hybridMultilevel"/>
    <w:tmpl w:val="591AC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E2618E"/>
    <w:multiLevelType w:val="hybridMultilevel"/>
    <w:tmpl w:val="7E8C4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A5F2F"/>
    <w:multiLevelType w:val="hybridMultilevel"/>
    <w:tmpl w:val="CCAA3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CA11CA"/>
    <w:multiLevelType w:val="hybridMultilevel"/>
    <w:tmpl w:val="0F544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5F7711"/>
    <w:multiLevelType w:val="multilevel"/>
    <w:tmpl w:val="616A8DDC"/>
    <w:lvl w:ilvl="0">
      <w:start w:val="1"/>
      <w:numFmt w:val="decimal"/>
      <w:pStyle w:val="Heading1"/>
      <w:lvlText w:val="%1.0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720" w:hanging="720"/>
      </w:pPr>
      <w:rPr>
        <w:rFonts w:hint="default"/>
      </w:rPr>
    </w:lvl>
  </w:abstractNum>
  <w:abstractNum w:abstractNumId="7" w15:restartNumberingAfterBreak="0">
    <w:nsid w:val="4B5426D1"/>
    <w:multiLevelType w:val="hybridMultilevel"/>
    <w:tmpl w:val="94B445E0"/>
    <w:lvl w:ilvl="0" w:tplc="20666BD0">
      <w:start w:val="10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FF1178F"/>
    <w:multiLevelType w:val="multilevel"/>
    <w:tmpl w:val="DC84425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C2079FE"/>
    <w:multiLevelType w:val="hybridMultilevel"/>
    <w:tmpl w:val="AA1A3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05440F"/>
    <w:multiLevelType w:val="hybridMultilevel"/>
    <w:tmpl w:val="4C98E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5E"/>
    <w:rsid w:val="00004BBF"/>
    <w:rsid w:val="00011EA4"/>
    <w:rsid w:val="00021222"/>
    <w:rsid w:val="00044532"/>
    <w:rsid w:val="00047BD8"/>
    <w:rsid w:val="00057072"/>
    <w:rsid w:val="0007721A"/>
    <w:rsid w:val="00093452"/>
    <w:rsid w:val="000A14B7"/>
    <w:rsid w:val="000A7AEE"/>
    <w:rsid w:val="000B3395"/>
    <w:rsid w:val="000C0094"/>
    <w:rsid w:val="000C06B0"/>
    <w:rsid w:val="000C2D91"/>
    <w:rsid w:val="000E5101"/>
    <w:rsid w:val="00102F91"/>
    <w:rsid w:val="00111291"/>
    <w:rsid w:val="00114717"/>
    <w:rsid w:val="0012238B"/>
    <w:rsid w:val="00147AAD"/>
    <w:rsid w:val="00167FC5"/>
    <w:rsid w:val="00183C24"/>
    <w:rsid w:val="001A1215"/>
    <w:rsid w:val="001A6412"/>
    <w:rsid w:val="001D4C91"/>
    <w:rsid w:val="00221028"/>
    <w:rsid w:val="002266B7"/>
    <w:rsid w:val="00231248"/>
    <w:rsid w:val="00242A9A"/>
    <w:rsid w:val="0025164E"/>
    <w:rsid w:val="002529C7"/>
    <w:rsid w:val="00265912"/>
    <w:rsid w:val="00272E48"/>
    <w:rsid w:val="00284747"/>
    <w:rsid w:val="002912EA"/>
    <w:rsid w:val="00293CD9"/>
    <w:rsid w:val="00295E5A"/>
    <w:rsid w:val="002D21E8"/>
    <w:rsid w:val="002F3664"/>
    <w:rsid w:val="002F3A87"/>
    <w:rsid w:val="00304D56"/>
    <w:rsid w:val="003330A3"/>
    <w:rsid w:val="00333660"/>
    <w:rsid w:val="003377E1"/>
    <w:rsid w:val="00360D97"/>
    <w:rsid w:val="00390073"/>
    <w:rsid w:val="00390591"/>
    <w:rsid w:val="003B5FCD"/>
    <w:rsid w:val="003C286C"/>
    <w:rsid w:val="003F711A"/>
    <w:rsid w:val="0040262C"/>
    <w:rsid w:val="00412583"/>
    <w:rsid w:val="00417309"/>
    <w:rsid w:val="00422BB3"/>
    <w:rsid w:val="0043179C"/>
    <w:rsid w:val="00433D31"/>
    <w:rsid w:val="00450466"/>
    <w:rsid w:val="00463A99"/>
    <w:rsid w:val="004862AB"/>
    <w:rsid w:val="00491C84"/>
    <w:rsid w:val="004A0807"/>
    <w:rsid w:val="004B3C8F"/>
    <w:rsid w:val="004C7F4F"/>
    <w:rsid w:val="004D2E91"/>
    <w:rsid w:val="004D675F"/>
    <w:rsid w:val="004F1E64"/>
    <w:rsid w:val="004F40D5"/>
    <w:rsid w:val="00506EE2"/>
    <w:rsid w:val="0051163D"/>
    <w:rsid w:val="00516CBC"/>
    <w:rsid w:val="00525433"/>
    <w:rsid w:val="005331C6"/>
    <w:rsid w:val="00560911"/>
    <w:rsid w:val="00596501"/>
    <w:rsid w:val="005C3D14"/>
    <w:rsid w:val="005D6AAD"/>
    <w:rsid w:val="00605123"/>
    <w:rsid w:val="006227ED"/>
    <w:rsid w:val="00693DCF"/>
    <w:rsid w:val="006A376C"/>
    <w:rsid w:val="006F6480"/>
    <w:rsid w:val="00702E8C"/>
    <w:rsid w:val="0070369F"/>
    <w:rsid w:val="00724F45"/>
    <w:rsid w:val="00726A19"/>
    <w:rsid w:val="0072739C"/>
    <w:rsid w:val="00742529"/>
    <w:rsid w:val="00757D91"/>
    <w:rsid w:val="007615D0"/>
    <w:rsid w:val="007738BC"/>
    <w:rsid w:val="007B651C"/>
    <w:rsid w:val="007D7046"/>
    <w:rsid w:val="007F7E08"/>
    <w:rsid w:val="00806A51"/>
    <w:rsid w:val="008071E8"/>
    <w:rsid w:val="00807889"/>
    <w:rsid w:val="008114B7"/>
    <w:rsid w:val="00821F39"/>
    <w:rsid w:val="00866C8D"/>
    <w:rsid w:val="00895CA2"/>
    <w:rsid w:val="008A66C1"/>
    <w:rsid w:val="008A704B"/>
    <w:rsid w:val="008B52D4"/>
    <w:rsid w:val="008C71E4"/>
    <w:rsid w:val="008D0C0A"/>
    <w:rsid w:val="00943FF8"/>
    <w:rsid w:val="0095148B"/>
    <w:rsid w:val="00980EFB"/>
    <w:rsid w:val="00992272"/>
    <w:rsid w:val="009A0EE4"/>
    <w:rsid w:val="009B579A"/>
    <w:rsid w:val="009C7F51"/>
    <w:rsid w:val="009D3162"/>
    <w:rsid w:val="009D5E83"/>
    <w:rsid w:val="009E2C99"/>
    <w:rsid w:val="009E2E60"/>
    <w:rsid w:val="009E6E5E"/>
    <w:rsid w:val="009E70EB"/>
    <w:rsid w:val="009F354E"/>
    <w:rsid w:val="009F7595"/>
    <w:rsid w:val="00A00076"/>
    <w:rsid w:val="00A01EEA"/>
    <w:rsid w:val="00A11E64"/>
    <w:rsid w:val="00A27A91"/>
    <w:rsid w:val="00A345F8"/>
    <w:rsid w:val="00A424F9"/>
    <w:rsid w:val="00AE3C43"/>
    <w:rsid w:val="00B024A7"/>
    <w:rsid w:val="00B40532"/>
    <w:rsid w:val="00BA2688"/>
    <w:rsid w:val="00BD492D"/>
    <w:rsid w:val="00BE288D"/>
    <w:rsid w:val="00BE709F"/>
    <w:rsid w:val="00C10ADD"/>
    <w:rsid w:val="00C21DE0"/>
    <w:rsid w:val="00C250DE"/>
    <w:rsid w:val="00C417E1"/>
    <w:rsid w:val="00C576C6"/>
    <w:rsid w:val="00C65F5F"/>
    <w:rsid w:val="00C7478F"/>
    <w:rsid w:val="00C74AE6"/>
    <w:rsid w:val="00C9717F"/>
    <w:rsid w:val="00CA35ED"/>
    <w:rsid w:val="00CC4718"/>
    <w:rsid w:val="00CD6A01"/>
    <w:rsid w:val="00CE460C"/>
    <w:rsid w:val="00CE72A5"/>
    <w:rsid w:val="00CF6A99"/>
    <w:rsid w:val="00D05459"/>
    <w:rsid w:val="00D07DFC"/>
    <w:rsid w:val="00D24B22"/>
    <w:rsid w:val="00D82FDD"/>
    <w:rsid w:val="00DE74FA"/>
    <w:rsid w:val="00DF00D7"/>
    <w:rsid w:val="00E33636"/>
    <w:rsid w:val="00E51455"/>
    <w:rsid w:val="00E521EE"/>
    <w:rsid w:val="00E9227B"/>
    <w:rsid w:val="00E93470"/>
    <w:rsid w:val="00E978CE"/>
    <w:rsid w:val="00EB1F18"/>
    <w:rsid w:val="00EC63C2"/>
    <w:rsid w:val="00ED2473"/>
    <w:rsid w:val="00ED6BAC"/>
    <w:rsid w:val="00EF46C4"/>
    <w:rsid w:val="00F0049A"/>
    <w:rsid w:val="00F1014A"/>
    <w:rsid w:val="00F163B1"/>
    <w:rsid w:val="00F44C9E"/>
    <w:rsid w:val="00F56CC7"/>
    <w:rsid w:val="00F65A17"/>
    <w:rsid w:val="00F76453"/>
    <w:rsid w:val="00F81E91"/>
    <w:rsid w:val="00FA0B5E"/>
    <w:rsid w:val="00FB6F9E"/>
    <w:rsid w:val="00FC3F1E"/>
    <w:rsid w:val="00FD22F5"/>
    <w:rsid w:val="00FD5708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C35DEF"/>
  <w15:docId w15:val="{E66D3075-3984-46F1-877D-8C9D4CF7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6C8D"/>
    <w:pPr>
      <w:spacing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Body"/>
    <w:link w:val="Heading1Char"/>
    <w:qFormat/>
    <w:rsid w:val="004D2E91"/>
    <w:pPr>
      <w:keepNext/>
      <w:keepLines/>
      <w:numPr>
        <w:numId w:val="11"/>
      </w:numPr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Body"/>
    <w:link w:val="Heading2Char"/>
    <w:unhideWhenUsed/>
    <w:qFormat/>
    <w:rsid w:val="00866C8D"/>
    <w:pPr>
      <w:keepNext/>
      <w:keepLines/>
      <w:numPr>
        <w:ilvl w:val="1"/>
        <w:numId w:val="11"/>
      </w:num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Body"/>
    <w:link w:val="Heading3Char"/>
    <w:semiHidden/>
    <w:unhideWhenUsed/>
    <w:qFormat/>
    <w:rsid w:val="00866C8D"/>
    <w:pPr>
      <w:keepNext/>
      <w:keepLines/>
      <w:numPr>
        <w:ilvl w:val="2"/>
        <w:numId w:val="11"/>
      </w:numPr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76453"/>
    <w:pPr>
      <w:spacing w:after="0" w:line="240" w:lineRule="auto"/>
    </w:pPr>
    <w:rPr>
      <w:rFonts w:ascii="Arial" w:hAnsi="Arial"/>
      <w:sz w:val="20"/>
    </w:rPr>
  </w:style>
  <w:style w:type="paragraph" w:customStyle="1" w:styleId="Body">
    <w:name w:val="Body"/>
    <w:basedOn w:val="Normal"/>
    <w:qFormat/>
    <w:rsid w:val="00605123"/>
    <w:pPr>
      <w:ind w:left="720"/>
    </w:pPr>
  </w:style>
  <w:style w:type="table" w:styleId="TableGrid">
    <w:name w:val="Table Grid"/>
    <w:basedOn w:val="TableNormal"/>
    <w:uiPriority w:val="59"/>
    <w:rsid w:val="00FA0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66C8D"/>
    <w:rPr>
      <w:rFonts w:ascii="Arial" w:eastAsiaTheme="majorEastAsia" w:hAnsi="Arial" w:cstheme="majorBidi"/>
      <w:b/>
      <w:bCs/>
      <w:cap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6C8D"/>
    <w:rPr>
      <w:rFonts w:ascii="Arial" w:eastAsiaTheme="majorEastAsia" w:hAnsi="Arial" w:cstheme="majorBidi"/>
      <w:bCs/>
      <w:sz w:val="20"/>
      <w:szCs w:val="26"/>
    </w:rPr>
  </w:style>
  <w:style w:type="paragraph" w:customStyle="1" w:styleId="Names">
    <w:name w:val="Names"/>
    <w:basedOn w:val="Body"/>
    <w:qFormat/>
    <w:rsid w:val="00FC3F1E"/>
    <w:pPr>
      <w:ind w:left="0"/>
      <w:contextualSpacing/>
    </w:pPr>
  </w:style>
  <w:style w:type="paragraph" w:customStyle="1" w:styleId="ActionItem">
    <w:name w:val="Action Item"/>
    <w:basedOn w:val="Normal"/>
    <w:next w:val="Body"/>
    <w:qFormat/>
    <w:rsid w:val="00C7478F"/>
    <w:pPr>
      <w:keepLines/>
    </w:pPr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FC3F1E"/>
    <w:pPr>
      <w:tabs>
        <w:tab w:val="center" w:pos="4680"/>
        <w:tab w:val="right" w:pos="9360"/>
      </w:tabs>
      <w:spacing w:after="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FC3F1E"/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FC3F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3F1E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E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E0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66C8D"/>
    <w:rPr>
      <w:rFonts w:ascii="Arial" w:eastAsiaTheme="majorEastAsia" w:hAnsi="Arial" w:cstheme="majorBidi"/>
      <w:bCs/>
      <w:sz w:val="20"/>
    </w:rPr>
  </w:style>
  <w:style w:type="paragraph" w:styleId="ListParagraph">
    <w:name w:val="List Paragraph"/>
    <w:basedOn w:val="Normal"/>
    <w:uiPriority w:val="34"/>
    <w:qFormat/>
    <w:rsid w:val="006227ED"/>
    <w:pPr>
      <w:ind w:left="720"/>
      <w:contextualSpacing/>
    </w:pPr>
  </w:style>
  <w:style w:type="paragraph" w:customStyle="1" w:styleId="Tracks">
    <w:name w:val="Tracks"/>
    <w:basedOn w:val="Normal"/>
    <w:rsid w:val="008B52D4"/>
    <w:pPr>
      <w:spacing w:after="0"/>
    </w:pPr>
    <w:rPr>
      <w:rFonts w:eastAsia="Times New Roman" w:cs="Times New Roman"/>
      <w:szCs w:val="20"/>
    </w:rPr>
  </w:style>
  <w:style w:type="paragraph" w:customStyle="1" w:styleId="Sub-Topic">
    <w:name w:val="Sub-Topic"/>
    <w:basedOn w:val="Normal"/>
    <w:qFormat/>
    <w:rsid w:val="008B52D4"/>
    <w:pPr>
      <w:numPr>
        <w:ilvl w:val="2"/>
        <w:numId w:val="7"/>
      </w:numPr>
      <w:spacing w:before="60" w:after="0"/>
    </w:pPr>
    <w:rPr>
      <w:rFonts w:eastAsia="Times New Roman" w:cs="Arial"/>
      <w:sz w:val="16"/>
      <w:szCs w:val="16"/>
    </w:rPr>
  </w:style>
  <w:style w:type="paragraph" w:customStyle="1" w:styleId="Topic">
    <w:name w:val="Topic"/>
    <w:basedOn w:val="Normal"/>
    <w:qFormat/>
    <w:rsid w:val="008B52D4"/>
    <w:pPr>
      <w:numPr>
        <w:numId w:val="7"/>
      </w:numPr>
      <w:spacing w:before="60" w:after="0"/>
    </w:pPr>
    <w:rPr>
      <w:rFonts w:eastAsia="Times New Roman" w:cs="Times New Roman"/>
      <w:b/>
      <w:sz w:val="16"/>
      <w:szCs w:val="16"/>
    </w:rPr>
  </w:style>
  <w:style w:type="paragraph" w:customStyle="1" w:styleId="Topicdetail">
    <w:name w:val="Topic detail"/>
    <w:basedOn w:val="Topic"/>
    <w:link w:val="TopicdetailChar"/>
    <w:qFormat/>
    <w:rsid w:val="008B52D4"/>
    <w:pPr>
      <w:numPr>
        <w:ilvl w:val="1"/>
      </w:numPr>
    </w:pPr>
    <w:rPr>
      <w:b w:val="0"/>
    </w:rPr>
  </w:style>
  <w:style w:type="character" w:customStyle="1" w:styleId="TopicdetailChar">
    <w:name w:val="Topic detail Char"/>
    <w:basedOn w:val="DefaultParagraphFont"/>
    <w:link w:val="Topicdetail"/>
    <w:rsid w:val="008B52D4"/>
    <w:rPr>
      <w:rFonts w:ascii="Arial" w:eastAsia="Times New Roman" w:hAnsi="Arial" w:cs="Times New Roman"/>
      <w:sz w:val="16"/>
      <w:szCs w:val="16"/>
    </w:rPr>
  </w:style>
  <w:style w:type="paragraph" w:customStyle="1" w:styleId="Sub-TopicDetail">
    <w:name w:val="Sub-Topic Detail"/>
    <w:basedOn w:val="Sub-Topic"/>
    <w:qFormat/>
    <w:rsid w:val="008B52D4"/>
    <w:pPr>
      <w:numPr>
        <w:ilvl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7364F-4716-4F37-9449-2C7C264AA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9024D6-8442-406B-81B2-0CA270477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44CB44-C53A-450D-B0EE-522C491A00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1F230A-F6BC-4336-B16F-3A255FF0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 International</Company>
  <LinksUpToDate>false</LinksUpToDate>
  <CharactersWithSpaces>13453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Lewis</dc:creator>
  <cp:keywords>Non Technical</cp:keywords>
  <cp:lastModifiedBy>Emily Yzquierdo</cp:lastModifiedBy>
  <cp:revision>22</cp:revision>
  <dcterms:created xsi:type="dcterms:W3CDTF">2017-03-03T10:22:00Z</dcterms:created>
  <dcterms:modified xsi:type="dcterms:W3CDTF">2017-03-14T14:00:00Z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7dd5e360-024c-4d17-804e-b50730388e12</vt:lpwstr>
  </property>
  <property fmtid="{D5CDD505-2E9C-101B-9397-08002B2CF9AE}" pid="3" name="UTCTechnicalData">
    <vt:lpwstr>No</vt:lpwstr>
  </property>
  <property fmtid="{D5CDD505-2E9C-101B-9397-08002B2CF9AE}" pid="4" name="UTCTechnicalDataKeyword">
    <vt:lpwstr>Non Technical</vt:lpwstr>
  </property>
</Properties>
</file>