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0353C71E" w:rsidR="00FA0B5E" w:rsidRPr="00FC3F1E" w:rsidRDefault="00FA0B5E" w:rsidP="00FC3F1E">
      <w:pPr>
        <w:spacing w:after="0"/>
        <w:jc w:val="center"/>
        <w:rPr>
          <w:b/>
        </w:rPr>
      </w:pPr>
      <w:r w:rsidRPr="00FC3F1E">
        <w:rPr>
          <w:b/>
        </w:rPr>
        <w:t>UNCONFIRMED MINUTES</w:t>
      </w:r>
    </w:p>
    <w:p w14:paraId="267D897D" w14:textId="3B53D48F" w:rsidR="00FA0B5E" w:rsidRPr="00FC3F1E" w:rsidRDefault="00272E21" w:rsidP="00FC3F1E">
      <w:pPr>
        <w:spacing w:after="0"/>
        <w:jc w:val="center"/>
        <w:rPr>
          <w:b/>
        </w:rPr>
      </w:pPr>
      <w:r>
        <w:rPr>
          <w:b/>
        </w:rPr>
        <w:t>FEBRUARY 2</w:t>
      </w:r>
      <w:r w:rsidR="00B2627B">
        <w:rPr>
          <w:b/>
        </w:rPr>
        <w:t>2</w:t>
      </w:r>
      <w:r>
        <w:rPr>
          <w:b/>
        </w:rPr>
        <w:t xml:space="preserve"> – 2</w:t>
      </w:r>
      <w:r w:rsidR="00B2627B">
        <w:rPr>
          <w:b/>
        </w:rPr>
        <w:t>3</w:t>
      </w:r>
      <w:r>
        <w:rPr>
          <w:b/>
        </w:rPr>
        <w:t>, 2017</w:t>
      </w:r>
    </w:p>
    <w:p w14:paraId="267D897E" w14:textId="4FD6C3FE" w:rsidR="00FA0B5E" w:rsidRPr="00FC3F1E" w:rsidRDefault="00272E21" w:rsidP="007F7E08">
      <w:pPr>
        <w:jc w:val="center"/>
        <w:rPr>
          <w:b/>
        </w:rPr>
      </w:pPr>
      <w:r>
        <w:rPr>
          <w:b/>
        </w:rPr>
        <w:t>NEW ORLEANS, LOUISIANA, USA</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743877A0" w:rsidR="00FA0B5E" w:rsidRPr="00FC3F1E" w:rsidRDefault="002E37DC" w:rsidP="00FA0B5E">
      <w:pPr>
        <w:rPr>
          <w:b/>
          <w:u w:val="single"/>
        </w:rPr>
      </w:pPr>
      <w:r>
        <w:rPr>
          <w:b/>
          <w:u w:val="single"/>
        </w:rPr>
        <w:t>WEDNESDAY</w:t>
      </w:r>
      <w:r w:rsidR="00FA0B5E" w:rsidRPr="00FC3F1E">
        <w:rPr>
          <w:b/>
          <w:u w:val="single"/>
        </w:rPr>
        <w:t xml:space="preserve">, </w:t>
      </w:r>
      <w:r w:rsidR="00272E21">
        <w:rPr>
          <w:b/>
          <w:u w:val="single"/>
        </w:rPr>
        <w:t>2</w:t>
      </w:r>
      <w:r w:rsidR="00B2627B">
        <w:rPr>
          <w:b/>
          <w:u w:val="single"/>
        </w:rPr>
        <w:t>2</w:t>
      </w:r>
      <w:r w:rsidR="00272E21">
        <w:rPr>
          <w:b/>
          <w:u w:val="single"/>
        </w:rPr>
        <w:t>-FEB-2017</w:t>
      </w:r>
      <w:r w:rsidR="00FA0B5E" w:rsidRPr="00FC3F1E">
        <w:rPr>
          <w:b/>
          <w:u w:val="single"/>
        </w:rPr>
        <w:t xml:space="preserve"> to </w:t>
      </w:r>
      <w:r w:rsidR="00272E21">
        <w:rPr>
          <w:b/>
          <w:u w:val="single"/>
        </w:rPr>
        <w:t>T</w:t>
      </w:r>
      <w:r>
        <w:rPr>
          <w:b/>
          <w:u w:val="single"/>
        </w:rPr>
        <w:t>HURS</w:t>
      </w:r>
      <w:r w:rsidR="00272E21">
        <w:rPr>
          <w:b/>
          <w:u w:val="single"/>
        </w:rPr>
        <w:t>DAY</w:t>
      </w:r>
      <w:r w:rsidR="00FA0B5E" w:rsidRPr="00FC3F1E">
        <w:rPr>
          <w:b/>
          <w:u w:val="single"/>
        </w:rPr>
        <w:t xml:space="preserve">, </w:t>
      </w:r>
      <w:r w:rsidR="00272E21">
        <w:rPr>
          <w:b/>
          <w:u w:val="single"/>
        </w:rPr>
        <w:t>2</w:t>
      </w:r>
      <w:r w:rsidR="00B2627B">
        <w:rPr>
          <w:b/>
          <w:u w:val="single"/>
        </w:rPr>
        <w:t>3</w:t>
      </w:r>
      <w:r w:rsidR="00272E21">
        <w:rPr>
          <w:b/>
          <w:u w:val="single"/>
        </w:rPr>
        <w:t>-FEB-2017</w:t>
      </w:r>
    </w:p>
    <w:p w14:paraId="267D8981" w14:textId="77777777" w:rsidR="00FA0B5E" w:rsidRDefault="00FA0B5E" w:rsidP="00FA0B5E">
      <w:pPr>
        <w:pStyle w:val="Heading1"/>
      </w:pPr>
      <w:r>
        <w:t>OPENING COMMENTS</w:t>
      </w:r>
    </w:p>
    <w:p w14:paraId="267D8982" w14:textId="77777777" w:rsidR="00FA0B5E" w:rsidRDefault="00FA0B5E" w:rsidP="00FA0B5E">
      <w:pPr>
        <w:pStyle w:val="Heading2"/>
      </w:pPr>
      <w:r>
        <w:t>Call to Order / Quorum Check</w:t>
      </w:r>
    </w:p>
    <w:p w14:paraId="33767989" w14:textId="564A8A57" w:rsidR="005474BF" w:rsidRDefault="005474BF" w:rsidP="005474BF">
      <w:pPr>
        <w:pStyle w:val="Body"/>
      </w:pPr>
      <w:r>
        <w:t xml:space="preserve">The Sealant (SLT) Task </w:t>
      </w:r>
      <w:r w:rsidR="00B5745C">
        <w:t>Group was called to order at 8:00</w:t>
      </w:r>
      <w:r>
        <w:t xml:space="preserve"> a.m., 22-Feb-2017.</w:t>
      </w:r>
    </w:p>
    <w:p w14:paraId="6321576E" w14:textId="4F9E8088" w:rsidR="005474BF" w:rsidRDefault="005474BF" w:rsidP="005474BF">
      <w:pPr>
        <w:pStyle w:val="Body"/>
      </w:pPr>
      <w:r>
        <w:t xml:space="preserve">Quorum </w:t>
      </w:r>
      <w:r w:rsidR="008901BB">
        <w:t>was in</w:t>
      </w:r>
      <w:r>
        <w:t xml:space="preserve"> place Wednesday</w:t>
      </w:r>
      <w:r w:rsidR="008901BB">
        <w:t xml:space="preserve"> 22-Feb-2017 from 9:30 a.m.</w:t>
      </w:r>
      <w:r w:rsidR="00E91C46">
        <w:t xml:space="preserve"> to 4:30 p.m. and covered agenda items </w:t>
      </w:r>
      <w:r w:rsidR="00B5590E">
        <w:t xml:space="preserve">1.6, </w:t>
      </w:r>
      <w:r w:rsidR="004177C5">
        <w:t>5.0</w:t>
      </w:r>
      <w:r w:rsidR="00E7563D">
        <w:t xml:space="preserve"> through 11.0</w:t>
      </w:r>
      <w:r w:rsidR="00B5590E">
        <w:t xml:space="preserve">, </w:t>
      </w:r>
      <w:r w:rsidR="00E7563D">
        <w:t>and</w:t>
      </w:r>
      <w:r w:rsidR="004177C5">
        <w:t xml:space="preserve"> 21.0</w:t>
      </w:r>
      <w:bookmarkStart w:id="0" w:name="_GoBack"/>
      <w:bookmarkEnd w:id="0"/>
      <w:r w:rsidR="00E91C46">
        <w:t>. The rest of the agenda items were covered without quorum and no decisions were made</w:t>
      </w:r>
      <w:r w:rsidR="0051778E">
        <w:t>.</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D32300" w:rsidRPr="00FA0B5E" w14:paraId="6294B5F1" w14:textId="77777777" w:rsidTr="0072739C">
        <w:tc>
          <w:tcPr>
            <w:tcW w:w="295" w:type="dxa"/>
          </w:tcPr>
          <w:p w14:paraId="58E9F693" w14:textId="488FEB6B" w:rsidR="00D32300" w:rsidRPr="00FA0B5E" w:rsidRDefault="00D32300" w:rsidP="00FA0B5E">
            <w:pPr>
              <w:pStyle w:val="Names"/>
            </w:pPr>
            <w:r>
              <w:t>*</w:t>
            </w:r>
          </w:p>
        </w:tc>
        <w:tc>
          <w:tcPr>
            <w:tcW w:w="1998" w:type="dxa"/>
          </w:tcPr>
          <w:p w14:paraId="22A54576" w14:textId="0A005BB7" w:rsidR="00D32300" w:rsidRPr="00FA0B5E" w:rsidRDefault="00D32300" w:rsidP="00FA0B5E">
            <w:pPr>
              <w:pStyle w:val="Names"/>
            </w:pPr>
            <w:r>
              <w:t>Kent</w:t>
            </w:r>
          </w:p>
        </w:tc>
        <w:tc>
          <w:tcPr>
            <w:tcW w:w="1980" w:type="dxa"/>
          </w:tcPr>
          <w:p w14:paraId="39669476" w14:textId="7E7E931E" w:rsidR="00D32300" w:rsidRPr="00FA0B5E" w:rsidRDefault="00D32300" w:rsidP="00FA0B5E">
            <w:pPr>
              <w:pStyle w:val="Names"/>
            </w:pPr>
            <w:r>
              <w:t>DeFranco</w:t>
            </w:r>
          </w:p>
        </w:tc>
        <w:tc>
          <w:tcPr>
            <w:tcW w:w="3870" w:type="dxa"/>
          </w:tcPr>
          <w:p w14:paraId="2F5A4F7B" w14:textId="2236F850" w:rsidR="00D32300" w:rsidRPr="00FA0B5E" w:rsidRDefault="00D32300" w:rsidP="00FA0B5E">
            <w:pPr>
              <w:pStyle w:val="Names"/>
            </w:pPr>
            <w:r>
              <w:t>Lockheed Martin Corp.</w:t>
            </w:r>
          </w:p>
        </w:tc>
        <w:tc>
          <w:tcPr>
            <w:tcW w:w="2160" w:type="dxa"/>
          </w:tcPr>
          <w:p w14:paraId="36A7E8A4" w14:textId="7224C1DB" w:rsidR="00D32300" w:rsidRPr="00FA0B5E" w:rsidRDefault="00D32300" w:rsidP="00FA0B5E">
            <w:pPr>
              <w:pStyle w:val="Names"/>
            </w:pPr>
            <w:r>
              <w:t>Chairperson</w:t>
            </w:r>
            <w:r w:rsidR="009561B3">
              <w:t>, proxy for R. Bove and D. Nickerson</w:t>
            </w:r>
          </w:p>
        </w:tc>
      </w:tr>
      <w:tr w:rsidR="00C37618" w:rsidRPr="00C37618" w14:paraId="267D8998" w14:textId="77777777" w:rsidTr="00F05558">
        <w:tc>
          <w:tcPr>
            <w:tcW w:w="295" w:type="dxa"/>
          </w:tcPr>
          <w:p w14:paraId="267D8993" w14:textId="6D15ADF6" w:rsidR="00C37618" w:rsidRPr="00C37618" w:rsidRDefault="00C37618" w:rsidP="00C37618">
            <w:pPr>
              <w:pStyle w:val="Names"/>
            </w:pPr>
          </w:p>
        </w:tc>
        <w:tc>
          <w:tcPr>
            <w:tcW w:w="1998" w:type="dxa"/>
            <w:tcBorders>
              <w:top w:val="nil"/>
              <w:left w:val="nil"/>
              <w:bottom w:val="nil"/>
              <w:right w:val="nil"/>
            </w:tcBorders>
            <w:shd w:val="clear" w:color="auto" w:fill="auto"/>
            <w:vAlign w:val="bottom"/>
          </w:tcPr>
          <w:p w14:paraId="267D8994" w14:textId="7BDCFA76" w:rsidR="00C37618" w:rsidRPr="00C37618" w:rsidRDefault="00C37618" w:rsidP="00C37618">
            <w:pPr>
              <w:pStyle w:val="Names"/>
            </w:pPr>
            <w:r w:rsidRPr="00C37618">
              <w:t>Aaron</w:t>
            </w:r>
          </w:p>
        </w:tc>
        <w:tc>
          <w:tcPr>
            <w:tcW w:w="1980" w:type="dxa"/>
            <w:tcBorders>
              <w:top w:val="nil"/>
              <w:left w:val="nil"/>
              <w:bottom w:val="nil"/>
              <w:right w:val="nil"/>
            </w:tcBorders>
            <w:shd w:val="clear" w:color="auto" w:fill="auto"/>
            <w:vAlign w:val="bottom"/>
          </w:tcPr>
          <w:p w14:paraId="267D8995" w14:textId="6781681E" w:rsidR="00C37618" w:rsidRPr="00C37618" w:rsidRDefault="00C37618" w:rsidP="00C37618">
            <w:pPr>
              <w:pStyle w:val="Names"/>
            </w:pPr>
            <w:r w:rsidRPr="00C37618">
              <w:t>Duncan</w:t>
            </w:r>
          </w:p>
        </w:tc>
        <w:tc>
          <w:tcPr>
            <w:tcW w:w="3870" w:type="dxa"/>
            <w:tcBorders>
              <w:top w:val="nil"/>
              <w:left w:val="nil"/>
              <w:bottom w:val="nil"/>
              <w:right w:val="nil"/>
            </w:tcBorders>
            <w:shd w:val="clear" w:color="auto" w:fill="auto"/>
            <w:vAlign w:val="bottom"/>
          </w:tcPr>
          <w:p w14:paraId="267D8996" w14:textId="4EAADE74" w:rsidR="00C37618" w:rsidRPr="00C37618" w:rsidRDefault="00C37618" w:rsidP="00C37618">
            <w:pPr>
              <w:pStyle w:val="Names"/>
            </w:pPr>
            <w:r w:rsidRPr="00C37618">
              <w:t>Honeywell Aerospace</w:t>
            </w:r>
          </w:p>
        </w:tc>
        <w:tc>
          <w:tcPr>
            <w:tcW w:w="2160" w:type="dxa"/>
          </w:tcPr>
          <w:p w14:paraId="267D8997" w14:textId="5A4CE3EC" w:rsidR="00C37618" w:rsidRPr="00C37618" w:rsidRDefault="00C37618" w:rsidP="00C37618">
            <w:pPr>
              <w:pStyle w:val="Names"/>
            </w:pPr>
          </w:p>
        </w:tc>
      </w:tr>
      <w:tr w:rsidR="00C37618" w:rsidRPr="00C37618" w14:paraId="267D899E" w14:textId="77777777" w:rsidTr="00F05558">
        <w:tc>
          <w:tcPr>
            <w:tcW w:w="295" w:type="dxa"/>
          </w:tcPr>
          <w:p w14:paraId="267D8999" w14:textId="468A2053" w:rsidR="00C37618" w:rsidRPr="00C37618" w:rsidRDefault="00515691" w:rsidP="00C37618">
            <w:pPr>
              <w:pStyle w:val="Names"/>
            </w:pPr>
            <w:r>
              <w:t>*</w:t>
            </w:r>
          </w:p>
        </w:tc>
        <w:tc>
          <w:tcPr>
            <w:tcW w:w="1998" w:type="dxa"/>
            <w:tcBorders>
              <w:top w:val="nil"/>
              <w:left w:val="nil"/>
              <w:bottom w:val="nil"/>
              <w:right w:val="nil"/>
            </w:tcBorders>
            <w:shd w:val="clear" w:color="auto" w:fill="auto"/>
            <w:vAlign w:val="bottom"/>
          </w:tcPr>
          <w:p w14:paraId="267D899A" w14:textId="3D304EED" w:rsidR="00C37618" w:rsidRPr="00C37618" w:rsidRDefault="00E72AE0" w:rsidP="00C37618">
            <w:pPr>
              <w:pStyle w:val="Names"/>
            </w:pPr>
            <w:r>
              <w:t>Alan</w:t>
            </w:r>
          </w:p>
        </w:tc>
        <w:tc>
          <w:tcPr>
            <w:tcW w:w="1980" w:type="dxa"/>
            <w:tcBorders>
              <w:top w:val="nil"/>
              <w:left w:val="nil"/>
              <w:bottom w:val="nil"/>
              <w:right w:val="nil"/>
            </w:tcBorders>
            <w:shd w:val="clear" w:color="auto" w:fill="auto"/>
            <w:vAlign w:val="bottom"/>
          </w:tcPr>
          <w:p w14:paraId="267D899B" w14:textId="0CB99C95" w:rsidR="00C37618" w:rsidRPr="00C37618" w:rsidRDefault="00E72AE0" w:rsidP="00C37618">
            <w:pPr>
              <w:pStyle w:val="Names"/>
            </w:pPr>
            <w:r w:rsidRPr="00C37618">
              <w:t>Fletcher</w:t>
            </w:r>
          </w:p>
        </w:tc>
        <w:tc>
          <w:tcPr>
            <w:tcW w:w="3870" w:type="dxa"/>
            <w:tcBorders>
              <w:top w:val="nil"/>
              <w:left w:val="nil"/>
              <w:bottom w:val="nil"/>
              <w:right w:val="nil"/>
            </w:tcBorders>
            <w:shd w:val="clear" w:color="auto" w:fill="auto"/>
            <w:vAlign w:val="bottom"/>
          </w:tcPr>
          <w:p w14:paraId="267D899C" w14:textId="4C7A048E" w:rsidR="00C37618" w:rsidRPr="00C37618" w:rsidRDefault="008F3CB5" w:rsidP="00C37618">
            <w:pPr>
              <w:pStyle w:val="Names"/>
            </w:pPr>
            <w:r>
              <w:t>U</w:t>
            </w:r>
            <w:r w:rsidR="00C37618" w:rsidRPr="00C37618">
              <w:t>S Air Force</w:t>
            </w:r>
          </w:p>
        </w:tc>
        <w:tc>
          <w:tcPr>
            <w:tcW w:w="2160" w:type="dxa"/>
          </w:tcPr>
          <w:p w14:paraId="267D899D" w14:textId="77777777" w:rsidR="00C37618" w:rsidRPr="00C37618" w:rsidRDefault="00C37618" w:rsidP="00C37618">
            <w:pPr>
              <w:pStyle w:val="Names"/>
            </w:pPr>
          </w:p>
        </w:tc>
      </w:tr>
      <w:tr w:rsidR="00C37618" w:rsidRPr="00C37618" w14:paraId="267D89A4" w14:textId="77777777" w:rsidTr="00F05558">
        <w:tc>
          <w:tcPr>
            <w:tcW w:w="295" w:type="dxa"/>
          </w:tcPr>
          <w:p w14:paraId="267D899F" w14:textId="3C06E5DF" w:rsidR="00C37618" w:rsidRPr="00C37618" w:rsidRDefault="00515691" w:rsidP="00C37618">
            <w:pPr>
              <w:pStyle w:val="Names"/>
            </w:pPr>
            <w:r>
              <w:t>*</w:t>
            </w:r>
          </w:p>
        </w:tc>
        <w:tc>
          <w:tcPr>
            <w:tcW w:w="1998" w:type="dxa"/>
            <w:tcBorders>
              <w:top w:val="nil"/>
              <w:left w:val="nil"/>
              <w:bottom w:val="nil"/>
              <w:right w:val="nil"/>
            </w:tcBorders>
            <w:shd w:val="clear" w:color="auto" w:fill="auto"/>
            <w:vAlign w:val="bottom"/>
          </w:tcPr>
          <w:p w14:paraId="267D89A0" w14:textId="54A95136" w:rsidR="00C37618" w:rsidRPr="00C37618" w:rsidRDefault="00C37618" w:rsidP="00C37618">
            <w:pPr>
              <w:pStyle w:val="Names"/>
            </w:pPr>
            <w:r w:rsidRPr="00C37618">
              <w:t>Mitch</w:t>
            </w:r>
          </w:p>
        </w:tc>
        <w:tc>
          <w:tcPr>
            <w:tcW w:w="1980" w:type="dxa"/>
            <w:tcBorders>
              <w:top w:val="nil"/>
              <w:left w:val="nil"/>
              <w:bottom w:val="nil"/>
              <w:right w:val="nil"/>
            </w:tcBorders>
            <w:shd w:val="clear" w:color="auto" w:fill="auto"/>
            <w:vAlign w:val="bottom"/>
          </w:tcPr>
          <w:p w14:paraId="267D89A1" w14:textId="7E9D66FF" w:rsidR="00C37618" w:rsidRPr="00C37618" w:rsidRDefault="00C37618" w:rsidP="00C37618">
            <w:pPr>
              <w:pStyle w:val="Names"/>
            </w:pPr>
            <w:r w:rsidRPr="00C37618">
              <w:t>Gourley</w:t>
            </w:r>
          </w:p>
        </w:tc>
        <w:tc>
          <w:tcPr>
            <w:tcW w:w="3870" w:type="dxa"/>
            <w:tcBorders>
              <w:top w:val="nil"/>
              <w:left w:val="nil"/>
              <w:bottom w:val="nil"/>
              <w:right w:val="nil"/>
            </w:tcBorders>
            <w:shd w:val="clear" w:color="auto" w:fill="auto"/>
            <w:vAlign w:val="bottom"/>
          </w:tcPr>
          <w:p w14:paraId="267D89A2" w14:textId="7F9EF91A" w:rsidR="00C37618" w:rsidRPr="00C37618" w:rsidRDefault="00C37618" w:rsidP="00C37618">
            <w:pPr>
              <w:pStyle w:val="Names"/>
            </w:pPr>
            <w:r w:rsidRPr="00C37618">
              <w:t>Textron Aviation</w:t>
            </w:r>
          </w:p>
        </w:tc>
        <w:tc>
          <w:tcPr>
            <w:tcW w:w="2160" w:type="dxa"/>
          </w:tcPr>
          <w:p w14:paraId="267D89A3" w14:textId="4E268ACF" w:rsidR="00C37618" w:rsidRPr="00C37618" w:rsidRDefault="00C37618" w:rsidP="00C37618">
            <w:pPr>
              <w:pStyle w:val="Names"/>
            </w:pPr>
          </w:p>
        </w:tc>
      </w:tr>
      <w:tr w:rsidR="00C37618" w:rsidRPr="00C37618" w14:paraId="09DE071E" w14:textId="77777777" w:rsidTr="00F05558">
        <w:tc>
          <w:tcPr>
            <w:tcW w:w="295" w:type="dxa"/>
          </w:tcPr>
          <w:p w14:paraId="0A512C1F" w14:textId="6FAD6E0E" w:rsidR="00C37618" w:rsidRPr="00C37618" w:rsidRDefault="00515691" w:rsidP="00C37618">
            <w:pPr>
              <w:pStyle w:val="Names"/>
            </w:pPr>
            <w:r>
              <w:t>*</w:t>
            </w:r>
          </w:p>
        </w:tc>
        <w:tc>
          <w:tcPr>
            <w:tcW w:w="1998" w:type="dxa"/>
            <w:tcBorders>
              <w:top w:val="nil"/>
              <w:left w:val="nil"/>
              <w:bottom w:val="nil"/>
              <w:right w:val="nil"/>
            </w:tcBorders>
            <w:shd w:val="clear" w:color="auto" w:fill="auto"/>
            <w:vAlign w:val="bottom"/>
          </w:tcPr>
          <w:p w14:paraId="67166AB0" w14:textId="7785316E" w:rsidR="00C37618" w:rsidRPr="00C37618" w:rsidRDefault="00C37618" w:rsidP="00C37618">
            <w:pPr>
              <w:pStyle w:val="Names"/>
            </w:pPr>
            <w:r w:rsidRPr="00C37618">
              <w:t>Manuel</w:t>
            </w:r>
          </w:p>
        </w:tc>
        <w:tc>
          <w:tcPr>
            <w:tcW w:w="1980" w:type="dxa"/>
            <w:tcBorders>
              <w:top w:val="nil"/>
              <w:left w:val="nil"/>
              <w:bottom w:val="nil"/>
              <w:right w:val="nil"/>
            </w:tcBorders>
            <w:shd w:val="clear" w:color="auto" w:fill="auto"/>
            <w:vAlign w:val="bottom"/>
          </w:tcPr>
          <w:p w14:paraId="6207E270" w14:textId="4BC63F46" w:rsidR="00C37618" w:rsidRPr="00C37618" w:rsidRDefault="00C37618" w:rsidP="00C37618">
            <w:pPr>
              <w:pStyle w:val="Names"/>
            </w:pPr>
            <w:r w:rsidRPr="00C37618">
              <w:t>Koucouthakis</w:t>
            </w:r>
          </w:p>
        </w:tc>
        <w:tc>
          <w:tcPr>
            <w:tcW w:w="3870" w:type="dxa"/>
            <w:tcBorders>
              <w:top w:val="nil"/>
              <w:left w:val="nil"/>
              <w:bottom w:val="nil"/>
              <w:right w:val="nil"/>
            </w:tcBorders>
            <w:shd w:val="clear" w:color="auto" w:fill="auto"/>
            <w:vAlign w:val="bottom"/>
          </w:tcPr>
          <w:p w14:paraId="6386D03B" w14:textId="10C74419" w:rsidR="00C37618" w:rsidRPr="00C37618" w:rsidRDefault="00C37618" w:rsidP="00C37618">
            <w:pPr>
              <w:pStyle w:val="Names"/>
            </w:pPr>
            <w:r w:rsidRPr="00C37618">
              <w:t>Honeywell Aerospace</w:t>
            </w:r>
          </w:p>
        </w:tc>
        <w:tc>
          <w:tcPr>
            <w:tcW w:w="2160" w:type="dxa"/>
          </w:tcPr>
          <w:p w14:paraId="45EF56B4" w14:textId="77777777" w:rsidR="00C37618" w:rsidRPr="00C37618" w:rsidRDefault="00C37618" w:rsidP="00C37618">
            <w:pPr>
              <w:pStyle w:val="Names"/>
            </w:pPr>
          </w:p>
        </w:tc>
      </w:tr>
      <w:tr w:rsidR="00C37618" w:rsidRPr="00C37618" w14:paraId="62BF2E5B" w14:textId="77777777" w:rsidTr="00F05558">
        <w:tc>
          <w:tcPr>
            <w:tcW w:w="295" w:type="dxa"/>
          </w:tcPr>
          <w:p w14:paraId="4C6E38AE" w14:textId="77777777" w:rsidR="00C37618" w:rsidRPr="00C37618" w:rsidRDefault="00C37618" w:rsidP="00C37618">
            <w:pPr>
              <w:pStyle w:val="Names"/>
            </w:pPr>
          </w:p>
        </w:tc>
        <w:tc>
          <w:tcPr>
            <w:tcW w:w="1998" w:type="dxa"/>
            <w:tcBorders>
              <w:top w:val="nil"/>
              <w:left w:val="nil"/>
              <w:bottom w:val="nil"/>
              <w:right w:val="nil"/>
            </w:tcBorders>
            <w:shd w:val="clear" w:color="auto" w:fill="auto"/>
            <w:vAlign w:val="bottom"/>
          </w:tcPr>
          <w:p w14:paraId="3B814473" w14:textId="0F763314" w:rsidR="00C37618" w:rsidRPr="00C37618" w:rsidRDefault="00C37618" w:rsidP="00C37618">
            <w:pPr>
              <w:pStyle w:val="Names"/>
            </w:pPr>
            <w:r w:rsidRPr="00C37618">
              <w:t>Roger</w:t>
            </w:r>
          </w:p>
        </w:tc>
        <w:tc>
          <w:tcPr>
            <w:tcW w:w="1980" w:type="dxa"/>
            <w:tcBorders>
              <w:top w:val="nil"/>
              <w:left w:val="nil"/>
              <w:bottom w:val="nil"/>
              <w:right w:val="nil"/>
            </w:tcBorders>
            <w:shd w:val="clear" w:color="auto" w:fill="auto"/>
            <w:vAlign w:val="bottom"/>
          </w:tcPr>
          <w:p w14:paraId="692BD66D" w14:textId="44924727" w:rsidR="00C37618" w:rsidRPr="00C37618" w:rsidRDefault="00C37618" w:rsidP="00C37618">
            <w:pPr>
              <w:pStyle w:val="Names"/>
            </w:pPr>
            <w:r w:rsidRPr="00C37618">
              <w:t>Merriman</w:t>
            </w:r>
          </w:p>
        </w:tc>
        <w:tc>
          <w:tcPr>
            <w:tcW w:w="3870" w:type="dxa"/>
            <w:tcBorders>
              <w:top w:val="nil"/>
              <w:left w:val="nil"/>
              <w:bottom w:val="nil"/>
              <w:right w:val="nil"/>
            </w:tcBorders>
            <w:shd w:val="clear" w:color="auto" w:fill="auto"/>
            <w:vAlign w:val="bottom"/>
          </w:tcPr>
          <w:p w14:paraId="51CE0DF4" w14:textId="478C2B0E" w:rsidR="00C37618" w:rsidRPr="00C37618" w:rsidRDefault="00C37618" w:rsidP="00C37618">
            <w:pPr>
              <w:pStyle w:val="Names"/>
            </w:pPr>
            <w:r w:rsidRPr="00C37618">
              <w:t>Textron Aviation</w:t>
            </w:r>
          </w:p>
        </w:tc>
        <w:tc>
          <w:tcPr>
            <w:tcW w:w="2160" w:type="dxa"/>
          </w:tcPr>
          <w:p w14:paraId="68FA3B3B" w14:textId="77777777" w:rsidR="00C37618" w:rsidRPr="00C37618" w:rsidRDefault="00C37618" w:rsidP="00C37618">
            <w:pPr>
              <w:pStyle w:val="Names"/>
            </w:pPr>
          </w:p>
        </w:tc>
      </w:tr>
      <w:tr w:rsidR="00C37618" w:rsidRPr="00C37618" w14:paraId="1AE7ABAF" w14:textId="77777777" w:rsidTr="00F05558">
        <w:tc>
          <w:tcPr>
            <w:tcW w:w="295" w:type="dxa"/>
          </w:tcPr>
          <w:p w14:paraId="504E8C2D" w14:textId="6B640B51" w:rsidR="00C37618" w:rsidRPr="00C37618" w:rsidRDefault="00515691" w:rsidP="00C37618">
            <w:pPr>
              <w:pStyle w:val="Names"/>
            </w:pPr>
            <w:r>
              <w:t>*</w:t>
            </w:r>
          </w:p>
        </w:tc>
        <w:tc>
          <w:tcPr>
            <w:tcW w:w="1998" w:type="dxa"/>
            <w:tcBorders>
              <w:top w:val="nil"/>
              <w:left w:val="nil"/>
              <w:bottom w:val="nil"/>
              <w:right w:val="nil"/>
            </w:tcBorders>
            <w:shd w:val="clear" w:color="auto" w:fill="auto"/>
            <w:vAlign w:val="bottom"/>
          </w:tcPr>
          <w:p w14:paraId="70648365" w14:textId="3AC0888C" w:rsidR="00C37618" w:rsidRPr="00C37618" w:rsidRDefault="00C37618" w:rsidP="00C37618">
            <w:pPr>
              <w:pStyle w:val="Names"/>
            </w:pPr>
            <w:r w:rsidRPr="00C37618">
              <w:t>Norberto</w:t>
            </w:r>
          </w:p>
        </w:tc>
        <w:tc>
          <w:tcPr>
            <w:tcW w:w="1980" w:type="dxa"/>
            <w:tcBorders>
              <w:top w:val="nil"/>
              <w:left w:val="nil"/>
              <w:bottom w:val="nil"/>
              <w:right w:val="nil"/>
            </w:tcBorders>
            <w:shd w:val="clear" w:color="auto" w:fill="auto"/>
            <w:vAlign w:val="bottom"/>
          </w:tcPr>
          <w:p w14:paraId="5B11ACDB" w14:textId="0743337C" w:rsidR="00C37618" w:rsidRPr="00C37618" w:rsidRDefault="00C37618" w:rsidP="00C37618">
            <w:pPr>
              <w:pStyle w:val="Names"/>
            </w:pPr>
            <w:r w:rsidRPr="00C37618">
              <w:t>Roiz-Lafuente</w:t>
            </w:r>
          </w:p>
        </w:tc>
        <w:tc>
          <w:tcPr>
            <w:tcW w:w="3870" w:type="dxa"/>
            <w:tcBorders>
              <w:top w:val="nil"/>
              <w:left w:val="nil"/>
              <w:bottom w:val="nil"/>
              <w:right w:val="nil"/>
            </w:tcBorders>
            <w:shd w:val="clear" w:color="auto" w:fill="auto"/>
            <w:vAlign w:val="bottom"/>
          </w:tcPr>
          <w:p w14:paraId="50212E71" w14:textId="675C85DC" w:rsidR="00C37618" w:rsidRPr="00C37618" w:rsidRDefault="00C37618" w:rsidP="00C37618">
            <w:pPr>
              <w:pStyle w:val="Names"/>
            </w:pPr>
            <w:r w:rsidRPr="00C37618">
              <w:t>Airbus Defence &amp; Space</w:t>
            </w:r>
          </w:p>
        </w:tc>
        <w:tc>
          <w:tcPr>
            <w:tcW w:w="2160" w:type="dxa"/>
          </w:tcPr>
          <w:p w14:paraId="23FF7992" w14:textId="77777777" w:rsidR="00C37618" w:rsidRPr="00C37618" w:rsidRDefault="00C37618" w:rsidP="00C37618">
            <w:pPr>
              <w:pStyle w:val="Names"/>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267D89AB" w14:textId="77777777" w:rsidTr="0072739C">
        <w:tc>
          <w:tcPr>
            <w:tcW w:w="295" w:type="dxa"/>
          </w:tcPr>
          <w:p w14:paraId="267D89A6" w14:textId="77777777" w:rsidR="00272E48" w:rsidRPr="00FA0B5E" w:rsidRDefault="00272E48" w:rsidP="00F05558">
            <w:pPr>
              <w:pStyle w:val="Names"/>
            </w:pPr>
          </w:p>
        </w:tc>
        <w:tc>
          <w:tcPr>
            <w:tcW w:w="1998" w:type="dxa"/>
          </w:tcPr>
          <w:p w14:paraId="267D89A7" w14:textId="77777777" w:rsidR="00272E48" w:rsidRPr="00FA0B5E" w:rsidRDefault="00272E48" w:rsidP="00F05558">
            <w:pPr>
              <w:pStyle w:val="Names"/>
            </w:pPr>
            <w:r w:rsidRPr="00FA0B5E">
              <w:t>NAME</w:t>
            </w:r>
          </w:p>
        </w:tc>
        <w:tc>
          <w:tcPr>
            <w:tcW w:w="1980" w:type="dxa"/>
          </w:tcPr>
          <w:p w14:paraId="267D89A8" w14:textId="77777777" w:rsidR="00272E48" w:rsidRPr="00FA0B5E" w:rsidRDefault="00272E48" w:rsidP="00F05558">
            <w:pPr>
              <w:pStyle w:val="Names"/>
            </w:pPr>
          </w:p>
        </w:tc>
        <w:tc>
          <w:tcPr>
            <w:tcW w:w="3870" w:type="dxa"/>
          </w:tcPr>
          <w:p w14:paraId="267D89A9" w14:textId="77777777" w:rsidR="00272E48" w:rsidRPr="00FA0B5E" w:rsidRDefault="00272E48" w:rsidP="00F05558">
            <w:pPr>
              <w:pStyle w:val="Names"/>
            </w:pPr>
            <w:r w:rsidRPr="00FA0B5E">
              <w:t>COMPANY NAME</w:t>
            </w:r>
          </w:p>
        </w:tc>
        <w:tc>
          <w:tcPr>
            <w:tcW w:w="2160" w:type="dxa"/>
          </w:tcPr>
          <w:p w14:paraId="267D89AA" w14:textId="77777777" w:rsidR="00272E48" w:rsidRPr="00FA0B5E" w:rsidRDefault="00272E48" w:rsidP="00F05558">
            <w:pPr>
              <w:pStyle w:val="Names"/>
            </w:pPr>
          </w:p>
        </w:tc>
      </w:tr>
      <w:tr w:rsidR="00272E48" w:rsidRPr="00E72AE0" w14:paraId="267D89B1" w14:textId="77777777" w:rsidTr="0072739C">
        <w:tc>
          <w:tcPr>
            <w:tcW w:w="295" w:type="dxa"/>
          </w:tcPr>
          <w:p w14:paraId="267D89AC" w14:textId="77777777" w:rsidR="00272E48" w:rsidRPr="00E72AE0" w:rsidRDefault="00272E48" w:rsidP="00E72AE0">
            <w:pPr>
              <w:pStyle w:val="Names"/>
            </w:pPr>
          </w:p>
        </w:tc>
        <w:tc>
          <w:tcPr>
            <w:tcW w:w="1998" w:type="dxa"/>
          </w:tcPr>
          <w:p w14:paraId="267D89AD" w14:textId="77777777" w:rsidR="00272E48" w:rsidRPr="00E72AE0" w:rsidRDefault="00272E48" w:rsidP="00E72AE0">
            <w:pPr>
              <w:pStyle w:val="Names"/>
            </w:pPr>
          </w:p>
        </w:tc>
        <w:tc>
          <w:tcPr>
            <w:tcW w:w="1980" w:type="dxa"/>
          </w:tcPr>
          <w:p w14:paraId="267D89AE" w14:textId="77777777" w:rsidR="00272E48" w:rsidRPr="00E72AE0" w:rsidRDefault="00272E48" w:rsidP="00E72AE0">
            <w:pPr>
              <w:pStyle w:val="Names"/>
            </w:pPr>
          </w:p>
        </w:tc>
        <w:tc>
          <w:tcPr>
            <w:tcW w:w="3870" w:type="dxa"/>
          </w:tcPr>
          <w:p w14:paraId="267D89AF" w14:textId="77777777" w:rsidR="00272E48" w:rsidRPr="00E72AE0" w:rsidRDefault="00272E48" w:rsidP="00E72AE0">
            <w:pPr>
              <w:pStyle w:val="Names"/>
            </w:pPr>
          </w:p>
        </w:tc>
        <w:tc>
          <w:tcPr>
            <w:tcW w:w="2160" w:type="dxa"/>
          </w:tcPr>
          <w:p w14:paraId="267D89B0" w14:textId="77777777" w:rsidR="00272E48" w:rsidRPr="00E72AE0" w:rsidRDefault="00272E48" w:rsidP="00E72AE0">
            <w:pPr>
              <w:pStyle w:val="Names"/>
            </w:pPr>
          </w:p>
        </w:tc>
      </w:tr>
      <w:tr w:rsidR="00E72AE0" w:rsidRPr="00E72AE0" w14:paraId="50EBB062" w14:textId="77777777" w:rsidTr="00F05558">
        <w:tc>
          <w:tcPr>
            <w:tcW w:w="295" w:type="dxa"/>
          </w:tcPr>
          <w:p w14:paraId="74587D9A" w14:textId="2C27EBE5" w:rsidR="00E72AE0" w:rsidRPr="00E72AE0" w:rsidRDefault="00E72AE0" w:rsidP="00E72AE0">
            <w:pPr>
              <w:pStyle w:val="Names"/>
            </w:pPr>
            <w:r>
              <w:t>*</w:t>
            </w:r>
          </w:p>
        </w:tc>
        <w:tc>
          <w:tcPr>
            <w:tcW w:w="1998" w:type="dxa"/>
            <w:tcBorders>
              <w:top w:val="nil"/>
              <w:left w:val="nil"/>
              <w:bottom w:val="nil"/>
              <w:right w:val="nil"/>
            </w:tcBorders>
            <w:shd w:val="clear" w:color="auto" w:fill="auto"/>
            <w:vAlign w:val="bottom"/>
          </w:tcPr>
          <w:p w14:paraId="01D7622D" w14:textId="3AC7C0BD" w:rsidR="00E72AE0" w:rsidRPr="00E72AE0" w:rsidRDefault="00E72AE0" w:rsidP="00E72AE0">
            <w:pPr>
              <w:pStyle w:val="Names"/>
            </w:pPr>
            <w:r w:rsidRPr="00E72AE0">
              <w:t>Jim</w:t>
            </w:r>
          </w:p>
        </w:tc>
        <w:tc>
          <w:tcPr>
            <w:tcW w:w="1980" w:type="dxa"/>
            <w:tcBorders>
              <w:top w:val="nil"/>
              <w:left w:val="nil"/>
              <w:bottom w:val="nil"/>
              <w:right w:val="nil"/>
            </w:tcBorders>
            <w:shd w:val="clear" w:color="auto" w:fill="auto"/>
            <w:vAlign w:val="bottom"/>
          </w:tcPr>
          <w:p w14:paraId="3EDE1B1C" w14:textId="1C39EC80" w:rsidR="00E72AE0" w:rsidRPr="00E72AE0" w:rsidRDefault="00E72AE0" w:rsidP="00E72AE0">
            <w:pPr>
              <w:pStyle w:val="Names"/>
            </w:pPr>
            <w:r w:rsidRPr="00E72AE0">
              <w:t>Carney</w:t>
            </w:r>
          </w:p>
        </w:tc>
        <w:tc>
          <w:tcPr>
            <w:tcW w:w="3870" w:type="dxa"/>
            <w:tcBorders>
              <w:top w:val="nil"/>
              <w:left w:val="nil"/>
              <w:bottom w:val="nil"/>
              <w:right w:val="nil"/>
            </w:tcBorders>
            <w:shd w:val="clear" w:color="auto" w:fill="auto"/>
            <w:vAlign w:val="bottom"/>
          </w:tcPr>
          <w:p w14:paraId="69C2D4F1" w14:textId="7532BC2B" w:rsidR="00E72AE0" w:rsidRPr="00E72AE0" w:rsidRDefault="00E72AE0" w:rsidP="00E72AE0">
            <w:pPr>
              <w:pStyle w:val="Names"/>
            </w:pPr>
            <w:r w:rsidRPr="00E72AE0">
              <w:t>NSL Aerospace</w:t>
            </w:r>
          </w:p>
        </w:tc>
        <w:tc>
          <w:tcPr>
            <w:tcW w:w="2160" w:type="dxa"/>
          </w:tcPr>
          <w:p w14:paraId="7270153D" w14:textId="1E6C6A37" w:rsidR="00E72AE0" w:rsidRPr="00E72AE0" w:rsidRDefault="009561B3" w:rsidP="00E72AE0">
            <w:pPr>
              <w:pStyle w:val="Names"/>
            </w:pPr>
            <w:r>
              <w:t>Proxy for R. Wilt</w:t>
            </w:r>
          </w:p>
        </w:tc>
      </w:tr>
      <w:tr w:rsidR="00E72AE0" w:rsidRPr="00E72AE0" w14:paraId="32067613" w14:textId="77777777" w:rsidTr="00657624">
        <w:tc>
          <w:tcPr>
            <w:tcW w:w="295" w:type="dxa"/>
          </w:tcPr>
          <w:p w14:paraId="2E48057A" w14:textId="12918DEE" w:rsidR="00E72AE0" w:rsidRPr="00E72AE0" w:rsidRDefault="00E72AE0" w:rsidP="00E72AE0">
            <w:pPr>
              <w:pStyle w:val="Names"/>
            </w:pPr>
            <w:r>
              <w:t>*</w:t>
            </w:r>
          </w:p>
        </w:tc>
        <w:tc>
          <w:tcPr>
            <w:tcW w:w="1998" w:type="dxa"/>
            <w:tcBorders>
              <w:top w:val="nil"/>
              <w:left w:val="nil"/>
              <w:bottom w:val="nil"/>
              <w:right w:val="nil"/>
            </w:tcBorders>
            <w:shd w:val="clear" w:color="auto" w:fill="auto"/>
          </w:tcPr>
          <w:p w14:paraId="1C06E659" w14:textId="3669BD60" w:rsidR="00E72AE0" w:rsidRPr="00E72AE0" w:rsidRDefault="00E72AE0" w:rsidP="00657624">
            <w:pPr>
              <w:pStyle w:val="Names"/>
            </w:pPr>
            <w:r w:rsidRPr="00E72AE0">
              <w:t>Suzanna</w:t>
            </w:r>
          </w:p>
        </w:tc>
        <w:tc>
          <w:tcPr>
            <w:tcW w:w="1980" w:type="dxa"/>
            <w:tcBorders>
              <w:top w:val="nil"/>
              <w:left w:val="nil"/>
              <w:bottom w:val="nil"/>
              <w:right w:val="nil"/>
            </w:tcBorders>
            <w:shd w:val="clear" w:color="auto" w:fill="auto"/>
          </w:tcPr>
          <w:p w14:paraId="4FBFB3AE" w14:textId="1192DA2E" w:rsidR="00E72AE0" w:rsidRPr="00E72AE0" w:rsidRDefault="00E72AE0" w:rsidP="00657624">
            <w:pPr>
              <w:pStyle w:val="Names"/>
            </w:pPr>
            <w:r w:rsidRPr="00E72AE0">
              <w:t>DeMoss</w:t>
            </w:r>
          </w:p>
        </w:tc>
        <w:tc>
          <w:tcPr>
            <w:tcW w:w="3870" w:type="dxa"/>
            <w:tcBorders>
              <w:top w:val="nil"/>
              <w:left w:val="nil"/>
              <w:bottom w:val="nil"/>
              <w:right w:val="nil"/>
            </w:tcBorders>
            <w:shd w:val="clear" w:color="auto" w:fill="auto"/>
            <w:vAlign w:val="bottom"/>
          </w:tcPr>
          <w:p w14:paraId="085D01C4" w14:textId="3AB6140C" w:rsidR="00E72AE0" w:rsidRPr="00E72AE0" w:rsidRDefault="00E72AE0" w:rsidP="00E72AE0">
            <w:pPr>
              <w:pStyle w:val="Names"/>
            </w:pPr>
            <w:r w:rsidRPr="00E72AE0">
              <w:t>3M</w:t>
            </w:r>
            <w:r>
              <w:t xml:space="preserve"> Company Aerospace and Aircraft Maintenance Department</w:t>
            </w:r>
          </w:p>
        </w:tc>
        <w:tc>
          <w:tcPr>
            <w:tcW w:w="2160" w:type="dxa"/>
          </w:tcPr>
          <w:p w14:paraId="731970BA" w14:textId="77777777" w:rsidR="00E72AE0" w:rsidRPr="00E72AE0" w:rsidRDefault="00E72AE0" w:rsidP="00E72AE0">
            <w:pPr>
              <w:pStyle w:val="Names"/>
            </w:pPr>
          </w:p>
        </w:tc>
      </w:tr>
      <w:tr w:rsidR="00E72AE0" w:rsidRPr="00E72AE0" w14:paraId="2DA32F13" w14:textId="77777777" w:rsidTr="00F05558">
        <w:tc>
          <w:tcPr>
            <w:tcW w:w="295" w:type="dxa"/>
          </w:tcPr>
          <w:p w14:paraId="27F8943E" w14:textId="351736FE" w:rsidR="00E72AE0" w:rsidRPr="00E72AE0" w:rsidRDefault="0037468E" w:rsidP="00E72AE0">
            <w:pPr>
              <w:pStyle w:val="Names"/>
            </w:pPr>
            <w:r>
              <w:t>*</w:t>
            </w:r>
          </w:p>
        </w:tc>
        <w:tc>
          <w:tcPr>
            <w:tcW w:w="1998" w:type="dxa"/>
            <w:tcBorders>
              <w:top w:val="nil"/>
              <w:left w:val="nil"/>
              <w:bottom w:val="nil"/>
              <w:right w:val="nil"/>
            </w:tcBorders>
            <w:shd w:val="clear" w:color="auto" w:fill="auto"/>
            <w:vAlign w:val="bottom"/>
          </w:tcPr>
          <w:p w14:paraId="065BC9CC" w14:textId="35F05165" w:rsidR="00E72AE0" w:rsidRPr="00E72AE0" w:rsidRDefault="00E72AE0" w:rsidP="00E72AE0">
            <w:pPr>
              <w:pStyle w:val="Names"/>
            </w:pPr>
            <w:r w:rsidRPr="00E72AE0">
              <w:t>Bruce</w:t>
            </w:r>
          </w:p>
        </w:tc>
        <w:tc>
          <w:tcPr>
            <w:tcW w:w="1980" w:type="dxa"/>
            <w:tcBorders>
              <w:top w:val="nil"/>
              <w:left w:val="nil"/>
              <w:bottom w:val="nil"/>
              <w:right w:val="nil"/>
            </w:tcBorders>
            <w:shd w:val="clear" w:color="auto" w:fill="auto"/>
            <w:vAlign w:val="bottom"/>
          </w:tcPr>
          <w:p w14:paraId="0A593E3A" w14:textId="5F6F70F2" w:rsidR="00E72AE0" w:rsidRPr="00E72AE0" w:rsidRDefault="00E72AE0" w:rsidP="00E72AE0">
            <w:pPr>
              <w:pStyle w:val="Names"/>
            </w:pPr>
            <w:r w:rsidRPr="00E72AE0">
              <w:t>Gormley</w:t>
            </w:r>
          </w:p>
        </w:tc>
        <w:tc>
          <w:tcPr>
            <w:tcW w:w="3870" w:type="dxa"/>
            <w:tcBorders>
              <w:top w:val="nil"/>
              <w:left w:val="nil"/>
              <w:bottom w:val="nil"/>
              <w:right w:val="nil"/>
            </w:tcBorders>
            <w:shd w:val="clear" w:color="auto" w:fill="auto"/>
            <w:vAlign w:val="bottom"/>
          </w:tcPr>
          <w:p w14:paraId="1CB4E381" w14:textId="112AE6E3" w:rsidR="00E72AE0" w:rsidRPr="00E72AE0" w:rsidRDefault="0037468E" w:rsidP="00E72AE0">
            <w:pPr>
              <w:pStyle w:val="Names"/>
            </w:pPr>
            <w:r>
              <w:t xml:space="preserve">Cytec </w:t>
            </w:r>
            <w:r w:rsidR="00E72AE0" w:rsidRPr="00E72AE0">
              <w:t xml:space="preserve">Solvay </w:t>
            </w:r>
            <w:r>
              <w:t>Group</w:t>
            </w:r>
            <w:r w:rsidR="00E72AE0" w:rsidRPr="00E72AE0">
              <w:t>t</w:t>
            </w:r>
          </w:p>
        </w:tc>
        <w:tc>
          <w:tcPr>
            <w:tcW w:w="2160" w:type="dxa"/>
          </w:tcPr>
          <w:p w14:paraId="62889AB0" w14:textId="77777777" w:rsidR="00E72AE0" w:rsidRPr="00E72AE0" w:rsidRDefault="00E72AE0" w:rsidP="00E72AE0">
            <w:pPr>
              <w:pStyle w:val="Names"/>
            </w:pPr>
          </w:p>
        </w:tc>
      </w:tr>
      <w:tr w:rsidR="00E72AE0" w:rsidRPr="00E72AE0" w14:paraId="76E9D125" w14:textId="77777777" w:rsidTr="00F05558">
        <w:tc>
          <w:tcPr>
            <w:tcW w:w="295" w:type="dxa"/>
          </w:tcPr>
          <w:p w14:paraId="6B70D224" w14:textId="74FE9FDA" w:rsidR="00E72AE0" w:rsidRPr="00E72AE0" w:rsidRDefault="00E72AE0" w:rsidP="00E72AE0">
            <w:pPr>
              <w:pStyle w:val="Names"/>
            </w:pPr>
            <w:r>
              <w:t>*</w:t>
            </w:r>
          </w:p>
        </w:tc>
        <w:tc>
          <w:tcPr>
            <w:tcW w:w="1998" w:type="dxa"/>
            <w:tcBorders>
              <w:top w:val="nil"/>
              <w:left w:val="nil"/>
              <w:bottom w:val="nil"/>
              <w:right w:val="nil"/>
            </w:tcBorders>
            <w:shd w:val="clear" w:color="auto" w:fill="auto"/>
            <w:vAlign w:val="bottom"/>
          </w:tcPr>
          <w:p w14:paraId="623A9FFE" w14:textId="0EEAC3D6" w:rsidR="00E72AE0" w:rsidRPr="00E72AE0" w:rsidRDefault="00E72AE0" w:rsidP="00E72AE0">
            <w:pPr>
              <w:pStyle w:val="Names"/>
            </w:pPr>
            <w:r w:rsidRPr="00E72AE0">
              <w:t>Ronald</w:t>
            </w:r>
          </w:p>
        </w:tc>
        <w:tc>
          <w:tcPr>
            <w:tcW w:w="1980" w:type="dxa"/>
            <w:tcBorders>
              <w:top w:val="nil"/>
              <w:left w:val="nil"/>
              <w:bottom w:val="nil"/>
              <w:right w:val="nil"/>
            </w:tcBorders>
            <w:shd w:val="clear" w:color="auto" w:fill="auto"/>
            <w:vAlign w:val="bottom"/>
          </w:tcPr>
          <w:p w14:paraId="7E18C948" w14:textId="5F678F54" w:rsidR="00E72AE0" w:rsidRPr="00E72AE0" w:rsidRDefault="00E72AE0" w:rsidP="00E72AE0">
            <w:pPr>
              <w:pStyle w:val="Names"/>
            </w:pPr>
            <w:r w:rsidRPr="00E72AE0">
              <w:t>Hendriks</w:t>
            </w:r>
          </w:p>
        </w:tc>
        <w:tc>
          <w:tcPr>
            <w:tcW w:w="3870" w:type="dxa"/>
            <w:tcBorders>
              <w:top w:val="nil"/>
              <w:left w:val="nil"/>
              <w:bottom w:val="nil"/>
              <w:right w:val="nil"/>
            </w:tcBorders>
            <w:shd w:val="clear" w:color="auto" w:fill="auto"/>
            <w:vAlign w:val="bottom"/>
          </w:tcPr>
          <w:p w14:paraId="17EED295" w14:textId="3EA78E58" w:rsidR="00E72AE0" w:rsidRPr="00E72AE0" w:rsidRDefault="00E72AE0" w:rsidP="00E72AE0">
            <w:pPr>
              <w:pStyle w:val="Names"/>
            </w:pPr>
            <w:r w:rsidRPr="00E72AE0">
              <w:t>Chemetall</w:t>
            </w:r>
            <w:r w:rsidR="00C72A57">
              <w:t xml:space="preserve"> GmbH</w:t>
            </w:r>
          </w:p>
        </w:tc>
        <w:tc>
          <w:tcPr>
            <w:tcW w:w="2160" w:type="dxa"/>
          </w:tcPr>
          <w:p w14:paraId="401168AF" w14:textId="77777777" w:rsidR="00E72AE0" w:rsidRPr="00E72AE0" w:rsidRDefault="00E72AE0" w:rsidP="00E72AE0">
            <w:pPr>
              <w:pStyle w:val="Names"/>
            </w:pPr>
          </w:p>
        </w:tc>
      </w:tr>
      <w:tr w:rsidR="00E72AE0" w:rsidRPr="00E72AE0" w14:paraId="509F9938" w14:textId="77777777" w:rsidTr="00F05558">
        <w:tc>
          <w:tcPr>
            <w:tcW w:w="295" w:type="dxa"/>
          </w:tcPr>
          <w:p w14:paraId="4346A68F" w14:textId="67475778" w:rsidR="00E72AE0" w:rsidRPr="00E72AE0" w:rsidRDefault="00E72AE0" w:rsidP="00E72AE0">
            <w:pPr>
              <w:pStyle w:val="Names"/>
            </w:pPr>
            <w:r>
              <w:t>*</w:t>
            </w:r>
          </w:p>
        </w:tc>
        <w:tc>
          <w:tcPr>
            <w:tcW w:w="1998" w:type="dxa"/>
            <w:tcBorders>
              <w:top w:val="nil"/>
              <w:left w:val="nil"/>
              <w:bottom w:val="nil"/>
              <w:right w:val="nil"/>
            </w:tcBorders>
            <w:shd w:val="clear" w:color="auto" w:fill="auto"/>
            <w:vAlign w:val="bottom"/>
          </w:tcPr>
          <w:p w14:paraId="08708CF3" w14:textId="4AFC67A6" w:rsidR="00E72AE0" w:rsidRPr="00E72AE0" w:rsidRDefault="00E72AE0" w:rsidP="00E72AE0">
            <w:pPr>
              <w:pStyle w:val="Names"/>
            </w:pPr>
            <w:r w:rsidRPr="00E72AE0">
              <w:t>David</w:t>
            </w:r>
          </w:p>
        </w:tc>
        <w:tc>
          <w:tcPr>
            <w:tcW w:w="1980" w:type="dxa"/>
            <w:tcBorders>
              <w:top w:val="nil"/>
              <w:left w:val="nil"/>
              <w:bottom w:val="nil"/>
              <w:right w:val="nil"/>
            </w:tcBorders>
            <w:shd w:val="clear" w:color="auto" w:fill="auto"/>
            <w:vAlign w:val="bottom"/>
          </w:tcPr>
          <w:p w14:paraId="60DC0750" w14:textId="502125D1" w:rsidR="00E72AE0" w:rsidRPr="00E72AE0" w:rsidRDefault="00E72AE0" w:rsidP="00E72AE0">
            <w:pPr>
              <w:pStyle w:val="Names"/>
            </w:pPr>
            <w:r w:rsidRPr="00E72AE0">
              <w:t>Jordan</w:t>
            </w:r>
          </w:p>
        </w:tc>
        <w:tc>
          <w:tcPr>
            <w:tcW w:w="3870" w:type="dxa"/>
            <w:tcBorders>
              <w:top w:val="nil"/>
              <w:left w:val="nil"/>
              <w:bottom w:val="nil"/>
              <w:right w:val="nil"/>
            </w:tcBorders>
            <w:shd w:val="clear" w:color="auto" w:fill="auto"/>
            <w:vAlign w:val="bottom"/>
          </w:tcPr>
          <w:p w14:paraId="74117B60" w14:textId="01F1C5C0" w:rsidR="00E72AE0" w:rsidRPr="00E72AE0" w:rsidRDefault="00E72AE0" w:rsidP="00E72AE0">
            <w:pPr>
              <w:pStyle w:val="Names"/>
            </w:pPr>
            <w:r w:rsidRPr="00E72AE0">
              <w:t>Chemetall</w:t>
            </w:r>
            <w:r w:rsidR="00C72A57">
              <w:t xml:space="preserve"> GmbH</w:t>
            </w:r>
          </w:p>
        </w:tc>
        <w:tc>
          <w:tcPr>
            <w:tcW w:w="2160" w:type="dxa"/>
          </w:tcPr>
          <w:p w14:paraId="5DB7009E" w14:textId="77777777" w:rsidR="00E72AE0" w:rsidRPr="00E72AE0" w:rsidRDefault="00E72AE0" w:rsidP="00E72AE0">
            <w:pPr>
              <w:pStyle w:val="Names"/>
            </w:pPr>
          </w:p>
        </w:tc>
      </w:tr>
      <w:tr w:rsidR="00E72AE0" w:rsidRPr="00E72AE0" w14:paraId="38565FF2" w14:textId="77777777" w:rsidTr="00F05558">
        <w:tc>
          <w:tcPr>
            <w:tcW w:w="295" w:type="dxa"/>
          </w:tcPr>
          <w:p w14:paraId="5BC50C70" w14:textId="36F37860" w:rsidR="00E72AE0" w:rsidRPr="00E72AE0" w:rsidRDefault="00E72AE0" w:rsidP="00E72AE0">
            <w:pPr>
              <w:pStyle w:val="Names"/>
            </w:pPr>
            <w:r>
              <w:t>*</w:t>
            </w:r>
          </w:p>
        </w:tc>
        <w:tc>
          <w:tcPr>
            <w:tcW w:w="1998" w:type="dxa"/>
            <w:tcBorders>
              <w:top w:val="nil"/>
              <w:left w:val="nil"/>
              <w:bottom w:val="nil"/>
              <w:right w:val="nil"/>
            </w:tcBorders>
            <w:shd w:val="clear" w:color="auto" w:fill="auto"/>
            <w:vAlign w:val="bottom"/>
          </w:tcPr>
          <w:p w14:paraId="317B02CC" w14:textId="085BC0F2" w:rsidR="00E72AE0" w:rsidRPr="00E72AE0" w:rsidRDefault="00E72AE0" w:rsidP="00E72AE0">
            <w:pPr>
              <w:pStyle w:val="Names"/>
            </w:pPr>
            <w:r w:rsidRPr="00E72AE0">
              <w:t>Joshua</w:t>
            </w:r>
          </w:p>
        </w:tc>
        <w:tc>
          <w:tcPr>
            <w:tcW w:w="1980" w:type="dxa"/>
            <w:tcBorders>
              <w:top w:val="nil"/>
              <w:left w:val="nil"/>
              <w:bottom w:val="nil"/>
              <w:right w:val="nil"/>
            </w:tcBorders>
            <w:shd w:val="clear" w:color="auto" w:fill="auto"/>
            <w:vAlign w:val="bottom"/>
          </w:tcPr>
          <w:p w14:paraId="57272B58" w14:textId="4305AF26" w:rsidR="00E72AE0" w:rsidRPr="00E72AE0" w:rsidRDefault="00E72AE0" w:rsidP="00E72AE0">
            <w:pPr>
              <w:pStyle w:val="Names"/>
            </w:pPr>
            <w:r w:rsidRPr="00E72AE0">
              <w:t>Mazin</w:t>
            </w:r>
          </w:p>
        </w:tc>
        <w:tc>
          <w:tcPr>
            <w:tcW w:w="3870" w:type="dxa"/>
            <w:tcBorders>
              <w:top w:val="nil"/>
              <w:left w:val="nil"/>
              <w:bottom w:val="nil"/>
              <w:right w:val="nil"/>
            </w:tcBorders>
            <w:shd w:val="clear" w:color="auto" w:fill="auto"/>
            <w:vAlign w:val="bottom"/>
          </w:tcPr>
          <w:p w14:paraId="14B6A3A4" w14:textId="333BFD90" w:rsidR="00E72AE0" w:rsidRPr="00E72AE0" w:rsidRDefault="00E72AE0" w:rsidP="00E72AE0">
            <w:pPr>
              <w:pStyle w:val="Names"/>
            </w:pPr>
            <w:r>
              <w:t>Flamemaster Corp</w:t>
            </w:r>
            <w:r w:rsidR="00C72A57">
              <w:t>.</w:t>
            </w:r>
          </w:p>
        </w:tc>
        <w:tc>
          <w:tcPr>
            <w:tcW w:w="2160" w:type="dxa"/>
          </w:tcPr>
          <w:p w14:paraId="3DB087CC" w14:textId="77777777" w:rsidR="00E72AE0" w:rsidRPr="00E72AE0" w:rsidRDefault="00E72AE0" w:rsidP="00E72AE0">
            <w:pPr>
              <w:pStyle w:val="Names"/>
            </w:pPr>
          </w:p>
        </w:tc>
      </w:tr>
      <w:tr w:rsidR="00E72AE0" w:rsidRPr="00E72AE0" w14:paraId="7DF2F1FC" w14:textId="77777777" w:rsidTr="00F05558">
        <w:tc>
          <w:tcPr>
            <w:tcW w:w="295" w:type="dxa"/>
          </w:tcPr>
          <w:p w14:paraId="754CB0B9" w14:textId="77777777" w:rsidR="00E72AE0" w:rsidRPr="00E72AE0" w:rsidRDefault="00E72AE0" w:rsidP="00E72AE0">
            <w:pPr>
              <w:pStyle w:val="Names"/>
            </w:pPr>
          </w:p>
        </w:tc>
        <w:tc>
          <w:tcPr>
            <w:tcW w:w="1998" w:type="dxa"/>
            <w:tcBorders>
              <w:top w:val="nil"/>
              <w:left w:val="nil"/>
              <w:bottom w:val="nil"/>
              <w:right w:val="nil"/>
            </w:tcBorders>
            <w:shd w:val="clear" w:color="auto" w:fill="auto"/>
            <w:vAlign w:val="bottom"/>
          </w:tcPr>
          <w:p w14:paraId="1A249C73" w14:textId="1310DE6B" w:rsidR="00E72AE0" w:rsidRPr="00E72AE0" w:rsidRDefault="00E72AE0" w:rsidP="00E72AE0">
            <w:pPr>
              <w:pStyle w:val="Names"/>
            </w:pPr>
            <w:r w:rsidRPr="00E72AE0">
              <w:t>Craig</w:t>
            </w:r>
          </w:p>
        </w:tc>
        <w:tc>
          <w:tcPr>
            <w:tcW w:w="1980" w:type="dxa"/>
            <w:tcBorders>
              <w:top w:val="nil"/>
              <w:left w:val="nil"/>
              <w:bottom w:val="nil"/>
              <w:right w:val="nil"/>
            </w:tcBorders>
            <w:shd w:val="clear" w:color="auto" w:fill="auto"/>
            <w:vAlign w:val="bottom"/>
          </w:tcPr>
          <w:p w14:paraId="0992A958" w14:textId="09317A41" w:rsidR="00E72AE0" w:rsidRPr="00E72AE0" w:rsidRDefault="00E72AE0" w:rsidP="00E72AE0">
            <w:pPr>
              <w:pStyle w:val="Names"/>
            </w:pPr>
            <w:r w:rsidRPr="00E72AE0">
              <w:t>Riffel</w:t>
            </w:r>
          </w:p>
        </w:tc>
        <w:tc>
          <w:tcPr>
            <w:tcW w:w="3870" w:type="dxa"/>
            <w:tcBorders>
              <w:top w:val="nil"/>
              <w:left w:val="nil"/>
              <w:bottom w:val="nil"/>
              <w:right w:val="nil"/>
            </w:tcBorders>
            <w:shd w:val="clear" w:color="auto" w:fill="auto"/>
            <w:vAlign w:val="bottom"/>
          </w:tcPr>
          <w:p w14:paraId="5A7745F8" w14:textId="4A2BB8C0" w:rsidR="00E72AE0" w:rsidRPr="00E72AE0" w:rsidRDefault="00E72AE0" w:rsidP="00E72AE0">
            <w:pPr>
              <w:pStyle w:val="Names"/>
            </w:pPr>
            <w:r w:rsidRPr="00E72AE0">
              <w:t>PPG Aerospace</w:t>
            </w:r>
          </w:p>
        </w:tc>
        <w:tc>
          <w:tcPr>
            <w:tcW w:w="2160" w:type="dxa"/>
          </w:tcPr>
          <w:p w14:paraId="2CC4335B" w14:textId="77777777" w:rsidR="00E72AE0" w:rsidRPr="00E72AE0" w:rsidRDefault="00E72AE0" w:rsidP="00E72AE0">
            <w:pPr>
              <w:pStyle w:val="Names"/>
            </w:pPr>
          </w:p>
        </w:tc>
      </w:tr>
      <w:tr w:rsidR="00E72AE0" w:rsidRPr="00E72AE0" w14:paraId="790046D7" w14:textId="77777777" w:rsidTr="00F05558">
        <w:tc>
          <w:tcPr>
            <w:tcW w:w="295" w:type="dxa"/>
          </w:tcPr>
          <w:p w14:paraId="0C560DD7" w14:textId="55DB5B43" w:rsidR="00E72AE0" w:rsidRPr="00E72AE0" w:rsidRDefault="00E72AE0" w:rsidP="00E72AE0">
            <w:pPr>
              <w:pStyle w:val="Names"/>
            </w:pPr>
            <w:r>
              <w:t>*</w:t>
            </w:r>
          </w:p>
        </w:tc>
        <w:tc>
          <w:tcPr>
            <w:tcW w:w="1998" w:type="dxa"/>
            <w:tcBorders>
              <w:top w:val="nil"/>
              <w:left w:val="nil"/>
              <w:bottom w:val="nil"/>
              <w:right w:val="nil"/>
            </w:tcBorders>
            <w:shd w:val="clear" w:color="auto" w:fill="auto"/>
            <w:vAlign w:val="bottom"/>
          </w:tcPr>
          <w:p w14:paraId="5C5DB5BD" w14:textId="0A5B6CE1" w:rsidR="00E72AE0" w:rsidRPr="00E72AE0" w:rsidRDefault="00E72AE0" w:rsidP="00E72AE0">
            <w:pPr>
              <w:pStyle w:val="Names"/>
            </w:pPr>
            <w:r w:rsidRPr="00E72AE0">
              <w:t>Jeff</w:t>
            </w:r>
          </w:p>
        </w:tc>
        <w:tc>
          <w:tcPr>
            <w:tcW w:w="1980" w:type="dxa"/>
            <w:tcBorders>
              <w:top w:val="nil"/>
              <w:left w:val="nil"/>
              <w:bottom w:val="nil"/>
              <w:right w:val="nil"/>
            </w:tcBorders>
            <w:shd w:val="clear" w:color="auto" w:fill="auto"/>
            <w:vAlign w:val="bottom"/>
          </w:tcPr>
          <w:p w14:paraId="1211FC30" w14:textId="706CA005" w:rsidR="00E72AE0" w:rsidRPr="00E72AE0" w:rsidRDefault="00E72AE0" w:rsidP="00E72AE0">
            <w:pPr>
              <w:pStyle w:val="Names"/>
            </w:pPr>
            <w:r w:rsidRPr="00E72AE0">
              <w:t>Steele</w:t>
            </w:r>
          </w:p>
        </w:tc>
        <w:tc>
          <w:tcPr>
            <w:tcW w:w="3870" w:type="dxa"/>
            <w:tcBorders>
              <w:top w:val="nil"/>
              <w:left w:val="nil"/>
              <w:bottom w:val="nil"/>
              <w:right w:val="nil"/>
            </w:tcBorders>
            <w:shd w:val="clear" w:color="auto" w:fill="auto"/>
            <w:vAlign w:val="bottom"/>
          </w:tcPr>
          <w:p w14:paraId="57047FD3" w14:textId="7CD901D3" w:rsidR="00E72AE0" w:rsidRPr="00E72AE0" w:rsidRDefault="00E72AE0" w:rsidP="00E72AE0">
            <w:pPr>
              <w:pStyle w:val="Names"/>
            </w:pPr>
            <w:r>
              <w:t xml:space="preserve">Cytec </w:t>
            </w:r>
            <w:r w:rsidRPr="00E72AE0">
              <w:t>Solvay</w:t>
            </w:r>
            <w:r>
              <w:t xml:space="preserve"> Group</w:t>
            </w:r>
          </w:p>
        </w:tc>
        <w:tc>
          <w:tcPr>
            <w:tcW w:w="2160" w:type="dxa"/>
          </w:tcPr>
          <w:p w14:paraId="62A898F1" w14:textId="2088A33D" w:rsidR="00E72AE0" w:rsidRPr="00E72AE0" w:rsidRDefault="009561B3" w:rsidP="00E72AE0">
            <w:pPr>
              <w:pStyle w:val="Names"/>
            </w:pPr>
            <w:r>
              <w:t>Proxy for P. Shackley</w:t>
            </w:r>
          </w:p>
        </w:tc>
      </w:tr>
    </w:tbl>
    <w:p w14:paraId="267D89C4" w14:textId="3E8730ED" w:rsidR="00FA0B5E" w:rsidRPr="00272E48" w:rsidRDefault="000A56D9" w:rsidP="00FC3F1E">
      <w:pPr>
        <w:pStyle w:val="Body"/>
        <w:keepNext/>
        <w:spacing w:before="200"/>
        <w:rPr>
          <w:b/>
          <w:i/>
          <w:u w:val="single"/>
        </w:rPr>
      </w:pPr>
      <w:r>
        <w:rPr>
          <w:b/>
          <w:i/>
          <w:u w:val="single"/>
        </w:rPr>
        <w:t>PRI Staff Present</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7" w14:textId="77777777" w:rsidTr="00E51455">
        <w:tc>
          <w:tcPr>
            <w:tcW w:w="2005" w:type="dxa"/>
          </w:tcPr>
          <w:p w14:paraId="267D89C5" w14:textId="05EC4312" w:rsidR="00E51455" w:rsidRPr="00FA0B5E" w:rsidRDefault="00354EF8" w:rsidP="00F05558">
            <w:pPr>
              <w:pStyle w:val="Names"/>
            </w:pPr>
            <w:r>
              <w:t>Linda</w:t>
            </w:r>
          </w:p>
        </w:tc>
        <w:tc>
          <w:tcPr>
            <w:tcW w:w="1980" w:type="dxa"/>
          </w:tcPr>
          <w:p w14:paraId="267D89C6" w14:textId="3203A06B" w:rsidR="00E51455" w:rsidRPr="00FA0B5E" w:rsidRDefault="00354EF8" w:rsidP="00F05558">
            <w:pPr>
              <w:pStyle w:val="Names"/>
            </w:pPr>
            <w:r>
              <w:t>Beene</w:t>
            </w:r>
          </w:p>
        </w:tc>
      </w:tr>
    </w:tbl>
    <w:p w14:paraId="267D89CE" w14:textId="77777777" w:rsidR="003B5FCD" w:rsidRDefault="003B5FCD" w:rsidP="003B5FCD">
      <w:pPr>
        <w:pStyle w:val="Body"/>
      </w:pPr>
    </w:p>
    <w:p w14:paraId="6F58B9C3" w14:textId="4CD0F98A" w:rsidR="00A50B8E" w:rsidRDefault="00A50B8E" w:rsidP="00866C8D">
      <w:pPr>
        <w:pStyle w:val="Heading2"/>
      </w:pPr>
      <w:r>
        <w:lastRenderedPageBreak/>
        <w:t>Safety Information – OPEN</w:t>
      </w:r>
    </w:p>
    <w:p w14:paraId="327C2C3B" w14:textId="77777777" w:rsidR="00FD784A" w:rsidRPr="007562C2" w:rsidRDefault="00FD784A" w:rsidP="00657624">
      <w:pPr>
        <w:pStyle w:val="Body"/>
      </w:pPr>
      <w:r w:rsidRPr="007562C2">
        <w:t xml:space="preserve">Fire </w:t>
      </w:r>
      <w:r>
        <w:t>e</w:t>
      </w:r>
      <w:r w:rsidRPr="007562C2">
        <w:t>xits in</w:t>
      </w:r>
      <w:r>
        <w:t xml:space="preserve"> </w:t>
      </w:r>
      <w:r w:rsidRPr="00657624">
        <w:t>the</w:t>
      </w:r>
      <w:r w:rsidRPr="007562C2">
        <w:t xml:space="preserve"> </w:t>
      </w:r>
      <w:r>
        <w:t>m</w:t>
      </w:r>
      <w:r w:rsidRPr="007562C2">
        <w:t xml:space="preserve">eeting </w:t>
      </w:r>
      <w:r>
        <w:t>r</w:t>
      </w:r>
      <w:r w:rsidRPr="007562C2">
        <w:t>oom</w:t>
      </w:r>
      <w:r>
        <w:t xml:space="preserve"> were reviewed. Attendees were also requested to inform PRI Staff</w:t>
      </w:r>
      <w:r w:rsidRPr="007562C2">
        <w:t xml:space="preserve"> of any emergencies</w:t>
      </w:r>
      <w:r>
        <w:t>.</w:t>
      </w:r>
    </w:p>
    <w:p w14:paraId="1CCAC828" w14:textId="5A60EE6A" w:rsidR="00A50B8E" w:rsidRDefault="00A50B8E" w:rsidP="00866C8D">
      <w:pPr>
        <w:pStyle w:val="Heading2"/>
      </w:pPr>
      <w:r>
        <w:t>Review of Code of Ethics</w:t>
      </w:r>
      <w:r w:rsidR="0071285D">
        <w:t xml:space="preserve"> and Meeting Conduct</w:t>
      </w:r>
      <w:r>
        <w:t xml:space="preserve"> – OPEN</w:t>
      </w:r>
    </w:p>
    <w:p w14:paraId="10AAE8B8" w14:textId="41A62B35" w:rsidR="00FD784A" w:rsidRPr="00580D08" w:rsidRDefault="00FD784A" w:rsidP="004E5933">
      <w:pPr>
        <w:pStyle w:val="Body"/>
      </w:pPr>
      <w:r w:rsidRPr="00580D08">
        <w:t xml:space="preserve">The code of ethics was reviewed and explained to the </w:t>
      </w:r>
      <w:r>
        <w:t>SLT</w:t>
      </w:r>
      <w:r w:rsidRPr="00580D08">
        <w:t xml:space="preserve"> TG members</w:t>
      </w:r>
      <w:r w:rsidR="00953456">
        <w:t>;</w:t>
      </w:r>
      <w:r w:rsidR="004E5933">
        <w:t xml:space="preserve"> no questions were raised.</w:t>
      </w:r>
    </w:p>
    <w:p w14:paraId="79D12A37" w14:textId="54C63A19" w:rsidR="00A50B8E" w:rsidRDefault="00A50B8E" w:rsidP="00A50B8E">
      <w:pPr>
        <w:pStyle w:val="Heading2"/>
      </w:pPr>
      <w:r>
        <w:t>Present the Anti</w:t>
      </w:r>
      <w:r w:rsidR="00296D92">
        <w:t>t</w:t>
      </w:r>
      <w:r w:rsidR="00702E1A">
        <w:t>rust</w:t>
      </w:r>
      <w:r w:rsidR="000A56D9">
        <w:t xml:space="preserve"> Video – OPEN</w:t>
      </w:r>
    </w:p>
    <w:p w14:paraId="1D65CE73" w14:textId="53AFB94E" w:rsidR="00FD784A" w:rsidRPr="005B2AB0" w:rsidRDefault="00FD784A">
      <w:pPr>
        <w:pStyle w:val="Body"/>
      </w:pPr>
      <w:r w:rsidRPr="00580D08">
        <w:t xml:space="preserve">The </w:t>
      </w:r>
      <w:r>
        <w:t>Antitrust Video was viewed with the</w:t>
      </w:r>
      <w:r w:rsidRPr="00580D08">
        <w:t xml:space="preserve"> </w:t>
      </w:r>
      <w:r>
        <w:t>SLT</w:t>
      </w:r>
      <w:r w:rsidRPr="00580D08">
        <w:t xml:space="preserve"> TG members</w:t>
      </w:r>
      <w:r w:rsidR="00953456">
        <w:t>;</w:t>
      </w:r>
      <w:r w:rsidR="004E5933">
        <w:t xml:space="preserve"> no questions were raised.</w:t>
      </w:r>
    </w:p>
    <w:p w14:paraId="1B16E963" w14:textId="623A93DE" w:rsidR="00A50B8E" w:rsidRDefault="000A56D9" w:rsidP="00866C8D">
      <w:pPr>
        <w:pStyle w:val="Heading2"/>
      </w:pPr>
      <w:r>
        <w:t>Review Agenda – OPEN</w:t>
      </w:r>
    </w:p>
    <w:p w14:paraId="59635E88" w14:textId="2790FDBE" w:rsidR="00FD784A" w:rsidRPr="00193756" w:rsidRDefault="00193756" w:rsidP="00FD784A">
      <w:pPr>
        <w:pStyle w:val="Body"/>
        <w:rPr>
          <w:caps/>
        </w:rPr>
      </w:pPr>
      <w:r>
        <w:t xml:space="preserve">The agenda </w:t>
      </w:r>
      <w:r w:rsidR="004E5933">
        <w:t xml:space="preserve">for the February 2017 meeting </w:t>
      </w:r>
      <w:r>
        <w:t xml:space="preserve">was reviewed. </w:t>
      </w:r>
      <w:r w:rsidR="004E5933" w:rsidRPr="00B15FCF">
        <w:t>Attendees were given the opportunity to discuss their expectations for this meeting. No expectations beyond what was listed in the agenda were expressed.</w:t>
      </w:r>
      <w:r w:rsidR="004E5933">
        <w:t xml:space="preserve"> </w:t>
      </w:r>
      <w:r>
        <w:t>SLT Audit Handbook Agenda Item will not be discussed.</w:t>
      </w:r>
      <w:r w:rsidR="008901BB">
        <w:t xml:space="preserve"> All items requiring a vote were moved to Wednesday.</w:t>
      </w:r>
    </w:p>
    <w:p w14:paraId="267D89CF" w14:textId="0CA55438" w:rsidR="00FA0B5E" w:rsidRDefault="00FA0B5E" w:rsidP="00866C8D">
      <w:pPr>
        <w:pStyle w:val="Heading2"/>
      </w:pPr>
      <w:r>
        <w:t>A</w:t>
      </w:r>
      <w:r w:rsidR="00296D92">
        <w:t>cceptance</w:t>
      </w:r>
      <w:r>
        <w:t xml:space="preserve"> of Meeting Minutes– OPEN</w:t>
      </w:r>
    </w:p>
    <w:p w14:paraId="51039DF0" w14:textId="3D9CAF87" w:rsidR="00FD784A" w:rsidRDefault="00FD784A" w:rsidP="00FA0B5E">
      <w:pPr>
        <w:pStyle w:val="Body"/>
      </w:pPr>
      <w:r w:rsidRPr="002E78EF">
        <w:t xml:space="preserve">Motion made by M. Koucouthakis and seconded by </w:t>
      </w:r>
      <w:r>
        <w:t>Jeff Steele to approve the October</w:t>
      </w:r>
      <w:r w:rsidRPr="002E78EF">
        <w:t xml:space="preserve"> 2016 meeting mi</w:t>
      </w:r>
      <w:r>
        <w:t>nutes as written. Motion Passed</w:t>
      </w:r>
      <w:r w:rsidR="004E5933">
        <w:t>.</w:t>
      </w:r>
    </w:p>
    <w:p w14:paraId="267D89D0" w14:textId="0BFF0230" w:rsidR="00FA0B5E" w:rsidRDefault="00A50B8E" w:rsidP="00FA0B5E">
      <w:pPr>
        <w:pStyle w:val="Body"/>
      </w:pPr>
      <w:r>
        <w:t>The minutes from October 2016</w:t>
      </w:r>
      <w:r w:rsidR="00FA0B5E">
        <w:t xml:space="preserve"> were approved as written.</w:t>
      </w:r>
    </w:p>
    <w:p w14:paraId="78B6E1A5" w14:textId="0D74BC08" w:rsidR="00764BF3" w:rsidRPr="00114717" w:rsidRDefault="00296D92" w:rsidP="00764BF3">
      <w:pPr>
        <w:pStyle w:val="Heading1"/>
      </w:pPr>
      <w:r>
        <w:t>Review Membership Status</w:t>
      </w:r>
      <w:r w:rsidR="00764BF3" w:rsidRPr="00114717">
        <w:t xml:space="preserve"> </w:t>
      </w:r>
      <w:r w:rsidR="000A56D9">
        <w:t>– OPEN</w:t>
      </w:r>
    </w:p>
    <w:p w14:paraId="4D1F1EBF" w14:textId="7A49312B" w:rsidR="00FB23C6" w:rsidRDefault="00FB23C6" w:rsidP="009D07EC">
      <w:pPr>
        <w:pStyle w:val="Heading2"/>
      </w:pPr>
      <w:r>
        <w:t>Review/Confirm New Voting Members</w:t>
      </w:r>
    </w:p>
    <w:p w14:paraId="1AFB8010" w14:textId="4BAD2988" w:rsidR="00764BF3" w:rsidRDefault="00764BF3" w:rsidP="00764BF3">
      <w:pPr>
        <w:ind w:left="720"/>
      </w:pPr>
      <w:r w:rsidRPr="009610A4">
        <w:t xml:space="preserve">The following requests for </w:t>
      </w:r>
      <w:r>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3D6CA8E0" w14:textId="77777777" w:rsidR="00764BF3" w:rsidRDefault="00764BF3" w:rsidP="00764BF3">
      <w:pPr>
        <w:pStyle w:val="ListParagraph"/>
        <w:numPr>
          <w:ilvl w:val="0"/>
          <w:numId w:val="3"/>
        </w:numPr>
      </w:pPr>
      <w:r>
        <w:t>Subscriber Voting Member: UVM</w:t>
      </w:r>
    </w:p>
    <w:p w14:paraId="0C9762A9" w14:textId="77777777" w:rsidR="00764BF3" w:rsidRDefault="00764BF3" w:rsidP="00764BF3">
      <w:pPr>
        <w:pStyle w:val="ListParagraph"/>
        <w:numPr>
          <w:ilvl w:val="0"/>
          <w:numId w:val="3"/>
        </w:numPr>
      </w:pPr>
      <w:r>
        <w:t>Supplier Voting Member: SVM</w:t>
      </w:r>
    </w:p>
    <w:p w14:paraId="26B0933C" w14:textId="77777777" w:rsidR="00764BF3" w:rsidRDefault="00764BF3" w:rsidP="00764BF3">
      <w:pPr>
        <w:pStyle w:val="ListParagraph"/>
        <w:numPr>
          <w:ilvl w:val="0"/>
          <w:numId w:val="3"/>
        </w:numPr>
      </w:pPr>
      <w:r>
        <w:t>Alternate: ALT</w:t>
      </w:r>
    </w:p>
    <w:p w14:paraId="5F0D3438" w14:textId="77777777" w:rsidR="00764BF3" w:rsidRDefault="00764BF3" w:rsidP="00764BF3">
      <w:pPr>
        <w:pStyle w:val="ListParagraph"/>
        <w:numPr>
          <w:ilvl w:val="0"/>
          <w:numId w:val="3"/>
        </w:numPr>
      </w:pPr>
      <w:r>
        <w:t>Task Group Chairperson: CHR</w:t>
      </w:r>
    </w:p>
    <w:p w14:paraId="189936DE" w14:textId="77777777" w:rsidR="00764BF3" w:rsidRDefault="00764BF3" w:rsidP="00764BF3">
      <w:pPr>
        <w:pStyle w:val="ListParagraph"/>
        <w:numPr>
          <w:ilvl w:val="0"/>
          <w:numId w:val="3"/>
        </w:numPr>
      </w:pPr>
      <w:r>
        <w:t>Vice Chairperson: VCH</w:t>
      </w:r>
    </w:p>
    <w:p w14:paraId="48DA930D" w14:textId="77777777" w:rsidR="00764BF3" w:rsidRPr="009610A4" w:rsidRDefault="00764BF3" w:rsidP="00764BF3">
      <w:pPr>
        <w:pStyle w:val="ListParagraph"/>
        <w:numPr>
          <w:ilvl w:val="0"/>
          <w:numId w:val="3"/>
        </w:numPr>
      </w:pPr>
      <w:r>
        <w:t>Secretary: SEC</w:t>
      </w:r>
    </w:p>
    <w:tbl>
      <w:tblPr>
        <w:tblW w:w="90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80"/>
        <w:gridCol w:w="2442"/>
        <w:gridCol w:w="2083"/>
        <w:gridCol w:w="1172"/>
        <w:gridCol w:w="1283"/>
      </w:tblGrid>
      <w:tr w:rsidR="00764BF3" w:rsidRPr="009610A4" w14:paraId="586D60D6" w14:textId="77777777" w:rsidTr="004D4643">
        <w:trPr>
          <w:trHeight w:val="719"/>
        </w:trPr>
        <w:tc>
          <w:tcPr>
            <w:tcW w:w="990" w:type="dxa"/>
            <w:shd w:val="clear" w:color="auto" w:fill="auto"/>
          </w:tcPr>
          <w:p w14:paraId="62E3167B" w14:textId="0174BE26" w:rsidR="00764BF3" w:rsidRPr="009610A4" w:rsidRDefault="00764BF3" w:rsidP="00FB23C6">
            <w:pPr>
              <w:jc w:val="center"/>
              <w:rPr>
                <w:rFonts w:cs="Arial"/>
                <w:b/>
                <w:bCs/>
                <w:iCs/>
              </w:rPr>
            </w:pPr>
            <w:r w:rsidRPr="009610A4">
              <w:rPr>
                <w:rFonts w:cs="Arial"/>
                <w:b/>
                <w:bCs/>
                <w:iCs/>
              </w:rPr>
              <w:t>First Name</w:t>
            </w:r>
          </w:p>
        </w:tc>
        <w:tc>
          <w:tcPr>
            <w:tcW w:w="1080" w:type="dxa"/>
            <w:shd w:val="clear" w:color="auto" w:fill="auto"/>
          </w:tcPr>
          <w:p w14:paraId="3CE251EA" w14:textId="77777777" w:rsidR="00764BF3" w:rsidRPr="009610A4" w:rsidRDefault="00764BF3" w:rsidP="00F05558">
            <w:pPr>
              <w:jc w:val="center"/>
              <w:rPr>
                <w:rFonts w:cs="Arial"/>
                <w:b/>
                <w:bCs/>
                <w:iCs/>
              </w:rPr>
            </w:pPr>
            <w:r w:rsidRPr="009610A4">
              <w:rPr>
                <w:rFonts w:cs="Arial"/>
                <w:b/>
                <w:bCs/>
                <w:iCs/>
              </w:rPr>
              <w:t>Surname</w:t>
            </w:r>
          </w:p>
        </w:tc>
        <w:tc>
          <w:tcPr>
            <w:tcW w:w="2442" w:type="dxa"/>
            <w:shd w:val="clear" w:color="auto" w:fill="auto"/>
          </w:tcPr>
          <w:p w14:paraId="516D40B1" w14:textId="77777777" w:rsidR="00764BF3" w:rsidRPr="009610A4" w:rsidRDefault="00764BF3" w:rsidP="00F05558">
            <w:pPr>
              <w:jc w:val="center"/>
              <w:rPr>
                <w:rFonts w:cs="Arial"/>
                <w:b/>
                <w:bCs/>
                <w:iCs/>
              </w:rPr>
            </w:pPr>
            <w:r w:rsidRPr="009610A4">
              <w:rPr>
                <w:rFonts w:cs="Arial"/>
                <w:b/>
                <w:bCs/>
                <w:iCs/>
              </w:rPr>
              <w:t>Company</w:t>
            </w:r>
          </w:p>
        </w:tc>
        <w:tc>
          <w:tcPr>
            <w:tcW w:w="2083" w:type="dxa"/>
            <w:shd w:val="clear" w:color="auto" w:fill="auto"/>
          </w:tcPr>
          <w:p w14:paraId="6757B977" w14:textId="77777777" w:rsidR="00764BF3" w:rsidRDefault="00764BF3" w:rsidP="00FB23C6">
            <w:pPr>
              <w:spacing w:after="0"/>
              <w:jc w:val="center"/>
              <w:rPr>
                <w:rFonts w:cs="Arial"/>
                <w:b/>
                <w:bCs/>
                <w:iCs/>
              </w:rPr>
            </w:pPr>
            <w:r>
              <w:rPr>
                <w:rFonts w:cs="Arial"/>
                <w:b/>
                <w:bCs/>
                <w:iCs/>
              </w:rPr>
              <w:t>Position:</w:t>
            </w:r>
          </w:p>
          <w:p w14:paraId="2B72EB0A" w14:textId="77777777" w:rsidR="00764BF3" w:rsidRPr="009610A4" w:rsidRDefault="00764BF3" w:rsidP="00FB23C6">
            <w:pPr>
              <w:spacing w:after="0"/>
              <w:jc w:val="center"/>
              <w:rPr>
                <w:rFonts w:cs="Arial"/>
                <w:b/>
                <w:bCs/>
                <w:iCs/>
              </w:rPr>
            </w:pPr>
            <w:r>
              <w:rPr>
                <w:rFonts w:cs="Arial"/>
                <w:b/>
                <w:bCs/>
                <w:iCs/>
              </w:rPr>
              <w:t>(new / updated role)</w:t>
            </w:r>
          </w:p>
        </w:tc>
        <w:tc>
          <w:tcPr>
            <w:tcW w:w="2455" w:type="dxa"/>
            <w:gridSpan w:val="2"/>
            <w:shd w:val="clear" w:color="auto" w:fill="auto"/>
          </w:tcPr>
          <w:p w14:paraId="5A959E09" w14:textId="77777777" w:rsidR="00FB23C6" w:rsidRDefault="00764BF3" w:rsidP="00FB23C6">
            <w:pPr>
              <w:spacing w:after="0"/>
              <w:jc w:val="center"/>
              <w:rPr>
                <w:rFonts w:cs="Arial"/>
                <w:b/>
                <w:bCs/>
                <w:iCs/>
              </w:rPr>
            </w:pPr>
            <w:r w:rsidRPr="009610A4">
              <w:rPr>
                <w:rFonts w:cs="Arial"/>
                <w:b/>
                <w:bCs/>
                <w:iCs/>
              </w:rPr>
              <w:t>Meetings Attended</w:t>
            </w:r>
          </w:p>
          <w:p w14:paraId="72AFAC2E" w14:textId="38DC960A" w:rsidR="00764BF3" w:rsidRPr="009610A4" w:rsidRDefault="00764BF3" w:rsidP="00FB23C6">
            <w:pPr>
              <w:spacing w:after="0"/>
              <w:jc w:val="center"/>
              <w:rPr>
                <w:rFonts w:cs="Arial"/>
                <w:b/>
                <w:bCs/>
                <w:iCs/>
              </w:rPr>
            </w:pPr>
            <w:r w:rsidRPr="009610A4">
              <w:rPr>
                <w:rFonts w:cs="Arial"/>
                <w:b/>
                <w:bCs/>
                <w:iCs/>
              </w:rPr>
              <w:t>(Month/Year)</w:t>
            </w:r>
          </w:p>
        </w:tc>
      </w:tr>
      <w:tr w:rsidR="004D4643" w:rsidRPr="009610A4" w14:paraId="06792902" w14:textId="77777777" w:rsidTr="00FB23C6">
        <w:tc>
          <w:tcPr>
            <w:tcW w:w="990" w:type="dxa"/>
            <w:shd w:val="clear" w:color="auto" w:fill="auto"/>
          </w:tcPr>
          <w:p w14:paraId="7728E2F5" w14:textId="103AFF28" w:rsidR="004D4643" w:rsidRPr="009610A4" w:rsidRDefault="00754968" w:rsidP="00FB23C6">
            <w:pPr>
              <w:pStyle w:val="Names"/>
            </w:pPr>
            <w:r>
              <w:t>Joshua</w:t>
            </w:r>
          </w:p>
        </w:tc>
        <w:tc>
          <w:tcPr>
            <w:tcW w:w="1080" w:type="dxa"/>
            <w:shd w:val="clear" w:color="auto" w:fill="auto"/>
          </w:tcPr>
          <w:p w14:paraId="7697BC73" w14:textId="0B4D9B84" w:rsidR="004D4643" w:rsidRPr="009610A4" w:rsidRDefault="00754968" w:rsidP="00FB23C6">
            <w:pPr>
              <w:pStyle w:val="Names"/>
            </w:pPr>
            <w:r>
              <w:t>Mazin</w:t>
            </w:r>
          </w:p>
        </w:tc>
        <w:tc>
          <w:tcPr>
            <w:tcW w:w="2442" w:type="dxa"/>
            <w:shd w:val="clear" w:color="auto" w:fill="auto"/>
          </w:tcPr>
          <w:p w14:paraId="362573E6" w14:textId="3110B8E1" w:rsidR="004D4643" w:rsidRPr="009610A4" w:rsidRDefault="00754968" w:rsidP="00FB23C6">
            <w:pPr>
              <w:pStyle w:val="Names"/>
            </w:pPr>
            <w:r>
              <w:t>Flamemaster Corp.</w:t>
            </w:r>
          </w:p>
        </w:tc>
        <w:tc>
          <w:tcPr>
            <w:tcW w:w="2083" w:type="dxa"/>
            <w:shd w:val="clear" w:color="auto" w:fill="auto"/>
          </w:tcPr>
          <w:p w14:paraId="23E78198" w14:textId="77777777" w:rsidR="00754968" w:rsidRDefault="00754968" w:rsidP="00FB23C6">
            <w:pPr>
              <w:pStyle w:val="Names"/>
            </w:pPr>
            <w:r>
              <w:t xml:space="preserve">SVM </w:t>
            </w:r>
          </w:p>
          <w:p w14:paraId="55DC1C97" w14:textId="43DD8296" w:rsidR="004D4643" w:rsidRPr="00C86C9F" w:rsidRDefault="00754968" w:rsidP="00FB23C6">
            <w:pPr>
              <w:pStyle w:val="Names"/>
            </w:pPr>
            <w:r>
              <w:t>(updated)</w:t>
            </w:r>
          </w:p>
        </w:tc>
        <w:tc>
          <w:tcPr>
            <w:tcW w:w="1172" w:type="dxa"/>
            <w:shd w:val="clear" w:color="auto" w:fill="auto"/>
          </w:tcPr>
          <w:p w14:paraId="7841A51E" w14:textId="7B9F663F" w:rsidR="004D4643" w:rsidRPr="009610A4" w:rsidRDefault="00754968" w:rsidP="00FB23C6">
            <w:pPr>
              <w:pStyle w:val="Names"/>
            </w:pPr>
            <w:r>
              <w:t>Feb-2013</w:t>
            </w:r>
          </w:p>
        </w:tc>
        <w:tc>
          <w:tcPr>
            <w:tcW w:w="1283" w:type="dxa"/>
            <w:shd w:val="clear" w:color="auto" w:fill="auto"/>
          </w:tcPr>
          <w:p w14:paraId="09686F0E" w14:textId="23FD13C8" w:rsidR="004D4643" w:rsidRPr="00C9352E" w:rsidRDefault="00754968" w:rsidP="00FB23C6">
            <w:pPr>
              <w:pStyle w:val="Names"/>
            </w:pPr>
            <w:r>
              <w:t>Feb-2017</w:t>
            </w:r>
          </w:p>
        </w:tc>
      </w:tr>
      <w:tr w:rsidR="004D4643" w:rsidRPr="009610A4" w14:paraId="0487E1FF" w14:textId="77777777" w:rsidTr="00FB23C6">
        <w:tc>
          <w:tcPr>
            <w:tcW w:w="990" w:type="dxa"/>
            <w:shd w:val="clear" w:color="auto" w:fill="auto"/>
          </w:tcPr>
          <w:p w14:paraId="7126D8B0" w14:textId="5E23BF9C" w:rsidR="004D4643" w:rsidRPr="009610A4" w:rsidRDefault="00754968" w:rsidP="00FB23C6">
            <w:pPr>
              <w:pStyle w:val="Names"/>
            </w:pPr>
            <w:r>
              <w:t>David</w:t>
            </w:r>
          </w:p>
        </w:tc>
        <w:tc>
          <w:tcPr>
            <w:tcW w:w="1080" w:type="dxa"/>
            <w:shd w:val="clear" w:color="auto" w:fill="auto"/>
          </w:tcPr>
          <w:p w14:paraId="7A53C328" w14:textId="58801E00" w:rsidR="004D4643" w:rsidRPr="009610A4" w:rsidRDefault="00754968" w:rsidP="00FB23C6">
            <w:pPr>
              <w:pStyle w:val="Names"/>
            </w:pPr>
            <w:r>
              <w:t>Jordan</w:t>
            </w:r>
          </w:p>
        </w:tc>
        <w:tc>
          <w:tcPr>
            <w:tcW w:w="2442" w:type="dxa"/>
            <w:shd w:val="clear" w:color="auto" w:fill="auto"/>
          </w:tcPr>
          <w:p w14:paraId="7A72D308" w14:textId="2B24E2A9" w:rsidR="004D4643" w:rsidRPr="009610A4" w:rsidRDefault="00754968" w:rsidP="00FB23C6">
            <w:pPr>
              <w:pStyle w:val="Names"/>
            </w:pPr>
            <w:r>
              <w:t>Chemetall GmbH</w:t>
            </w:r>
          </w:p>
        </w:tc>
        <w:tc>
          <w:tcPr>
            <w:tcW w:w="2083" w:type="dxa"/>
            <w:shd w:val="clear" w:color="auto" w:fill="auto"/>
          </w:tcPr>
          <w:p w14:paraId="26DAE899" w14:textId="7C8F727F" w:rsidR="004D4643" w:rsidRDefault="00754968" w:rsidP="00FB23C6">
            <w:pPr>
              <w:pStyle w:val="Names"/>
            </w:pPr>
            <w:r>
              <w:t xml:space="preserve">ALT </w:t>
            </w:r>
            <w:r w:rsidR="004D4643">
              <w:t xml:space="preserve">SVM </w:t>
            </w:r>
          </w:p>
          <w:p w14:paraId="2216E3B4" w14:textId="2A8415F1" w:rsidR="004D4643" w:rsidRPr="009610A4" w:rsidRDefault="00754968" w:rsidP="00FB23C6">
            <w:pPr>
              <w:pStyle w:val="Names"/>
            </w:pPr>
            <w:r>
              <w:t>(new</w:t>
            </w:r>
            <w:r w:rsidR="004D4643">
              <w:t>)</w:t>
            </w:r>
          </w:p>
        </w:tc>
        <w:tc>
          <w:tcPr>
            <w:tcW w:w="1172" w:type="dxa"/>
            <w:shd w:val="clear" w:color="auto" w:fill="auto"/>
          </w:tcPr>
          <w:p w14:paraId="632A255D" w14:textId="00B2E1DF" w:rsidR="004D4643" w:rsidRPr="00406713" w:rsidRDefault="00754968" w:rsidP="00FB23C6">
            <w:pPr>
              <w:pStyle w:val="Names"/>
            </w:pPr>
            <w:r>
              <w:t>Oct-2016</w:t>
            </w:r>
          </w:p>
        </w:tc>
        <w:tc>
          <w:tcPr>
            <w:tcW w:w="1283" w:type="dxa"/>
            <w:shd w:val="clear" w:color="auto" w:fill="auto"/>
          </w:tcPr>
          <w:p w14:paraId="62E84ABB" w14:textId="231E8598" w:rsidR="004D4643" w:rsidRPr="00C9352E" w:rsidRDefault="00754968" w:rsidP="00FB23C6">
            <w:pPr>
              <w:pStyle w:val="Names"/>
            </w:pPr>
            <w:r>
              <w:t>Feb-2017</w:t>
            </w:r>
          </w:p>
        </w:tc>
      </w:tr>
      <w:tr w:rsidR="00754968" w:rsidRPr="009610A4" w14:paraId="0C61F566" w14:textId="77777777" w:rsidTr="00FB23C6">
        <w:tc>
          <w:tcPr>
            <w:tcW w:w="990" w:type="dxa"/>
            <w:shd w:val="clear" w:color="auto" w:fill="auto"/>
          </w:tcPr>
          <w:p w14:paraId="5D7BEA21" w14:textId="612585A5" w:rsidR="00754968" w:rsidRDefault="00754968" w:rsidP="00FB23C6">
            <w:pPr>
              <w:pStyle w:val="Names"/>
            </w:pPr>
            <w:r>
              <w:t>Mitch</w:t>
            </w:r>
          </w:p>
        </w:tc>
        <w:tc>
          <w:tcPr>
            <w:tcW w:w="1080" w:type="dxa"/>
            <w:shd w:val="clear" w:color="auto" w:fill="auto"/>
          </w:tcPr>
          <w:p w14:paraId="75D1D551" w14:textId="2C9C9713" w:rsidR="00754968" w:rsidRDefault="00754968" w:rsidP="00FB23C6">
            <w:pPr>
              <w:pStyle w:val="Names"/>
            </w:pPr>
            <w:r>
              <w:t>Gourley</w:t>
            </w:r>
          </w:p>
        </w:tc>
        <w:tc>
          <w:tcPr>
            <w:tcW w:w="2442" w:type="dxa"/>
            <w:shd w:val="clear" w:color="auto" w:fill="auto"/>
          </w:tcPr>
          <w:p w14:paraId="0DF182C2" w14:textId="7B5649A2" w:rsidR="00754968" w:rsidRDefault="00754968" w:rsidP="00FB23C6">
            <w:pPr>
              <w:pStyle w:val="Names"/>
            </w:pPr>
            <w:r>
              <w:t>Textron Aviation</w:t>
            </w:r>
          </w:p>
        </w:tc>
        <w:tc>
          <w:tcPr>
            <w:tcW w:w="2083" w:type="dxa"/>
            <w:shd w:val="clear" w:color="auto" w:fill="auto"/>
          </w:tcPr>
          <w:p w14:paraId="25E57A32" w14:textId="77777777" w:rsidR="00754968" w:rsidRDefault="00754968" w:rsidP="00FB23C6">
            <w:pPr>
              <w:pStyle w:val="Names"/>
            </w:pPr>
            <w:r>
              <w:t xml:space="preserve">UVM </w:t>
            </w:r>
          </w:p>
          <w:p w14:paraId="0532098C" w14:textId="0978CD93" w:rsidR="00754968" w:rsidRDefault="00754968" w:rsidP="00FB23C6">
            <w:pPr>
              <w:pStyle w:val="Names"/>
            </w:pPr>
            <w:r>
              <w:t>(new)</w:t>
            </w:r>
          </w:p>
        </w:tc>
        <w:tc>
          <w:tcPr>
            <w:tcW w:w="1172" w:type="dxa"/>
            <w:shd w:val="clear" w:color="auto" w:fill="auto"/>
          </w:tcPr>
          <w:p w14:paraId="6BA4F4C2" w14:textId="06F442EE" w:rsidR="00754968" w:rsidRDefault="00754968" w:rsidP="00FB23C6">
            <w:pPr>
              <w:pStyle w:val="Names"/>
            </w:pPr>
            <w:r>
              <w:t>Oct-2016</w:t>
            </w:r>
          </w:p>
        </w:tc>
        <w:tc>
          <w:tcPr>
            <w:tcW w:w="1283" w:type="dxa"/>
            <w:shd w:val="clear" w:color="auto" w:fill="auto"/>
          </w:tcPr>
          <w:p w14:paraId="324E9975" w14:textId="63B84E58" w:rsidR="00754968" w:rsidRDefault="00754968" w:rsidP="00FB23C6">
            <w:pPr>
              <w:pStyle w:val="Names"/>
            </w:pPr>
            <w:r>
              <w:t>Feb-2017</w:t>
            </w:r>
          </w:p>
        </w:tc>
      </w:tr>
      <w:tr w:rsidR="00B5745C" w:rsidRPr="009610A4" w14:paraId="37219B2C" w14:textId="77777777" w:rsidTr="00FB23C6">
        <w:tc>
          <w:tcPr>
            <w:tcW w:w="990" w:type="dxa"/>
            <w:shd w:val="clear" w:color="auto" w:fill="auto"/>
          </w:tcPr>
          <w:p w14:paraId="59891002" w14:textId="5E9FC890" w:rsidR="00B5745C" w:rsidRDefault="00B5745C" w:rsidP="00FB23C6">
            <w:pPr>
              <w:pStyle w:val="Names"/>
            </w:pPr>
            <w:r w:rsidRPr="00E72AE0">
              <w:t>Bruce</w:t>
            </w:r>
          </w:p>
        </w:tc>
        <w:tc>
          <w:tcPr>
            <w:tcW w:w="1080" w:type="dxa"/>
            <w:shd w:val="clear" w:color="auto" w:fill="auto"/>
          </w:tcPr>
          <w:p w14:paraId="7A37FEF4" w14:textId="32DE358C" w:rsidR="00B5745C" w:rsidRDefault="00B5745C" w:rsidP="00FB23C6">
            <w:pPr>
              <w:pStyle w:val="Names"/>
            </w:pPr>
            <w:r w:rsidRPr="00E72AE0">
              <w:t>Gormley</w:t>
            </w:r>
          </w:p>
        </w:tc>
        <w:tc>
          <w:tcPr>
            <w:tcW w:w="2442" w:type="dxa"/>
            <w:shd w:val="clear" w:color="auto" w:fill="auto"/>
          </w:tcPr>
          <w:p w14:paraId="513CDBDD" w14:textId="7E1A30DC" w:rsidR="00B5745C" w:rsidRDefault="00B5745C" w:rsidP="00FB23C6">
            <w:pPr>
              <w:pStyle w:val="Names"/>
            </w:pPr>
            <w:r>
              <w:t xml:space="preserve">Cytec </w:t>
            </w:r>
            <w:r w:rsidRPr="00E72AE0">
              <w:t xml:space="preserve">Solvay </w:t>
            </w:r>
            <w:r>
              <w:t>Group</w:t>
            </w:r>
          </w:p>
        </w:tc>
        <w:tc>
          <w:tcPr>
            <w:tcW w:w="2083" w:type="dxa"/>
            <w:shd w:val="clear" w:color="auto" w:fill="auto"/>
          </w:tcPr>
          <w:p w14:paraId="0EC4AFBC" w14:textId="77777777" w:rsidR="00B5745C" w:rsidRDefault="00B5745C" w:rsidP="00FB23C6">
            <w:pPr>
              <w:pStyle w:val="Names"/>
            </w:pPr>
            <w:r>
              <w:t>SVM</w:t>
            </w:r>
          </w:p>
          <w:p w14:paraId="26CB85A1" w14:textId="7BC5496E" w:rsidR="00B5745C" w:rsidRDefault="00B5745C" w:rsidP="00FB23C6">
            <w:pPr>
              <w:pStyle w:val="Names"/>
            </w:pPr>
            <w:r>
              <w:t>(new)</w:t>
            </w:r>
          </w:p>
        </w:tc>
        <w:tc>
          <w:tcPr>
            <w:tcW w:w="1172" w:type="dxa"/>
            <w:shd w:val="clear" w:color="auto" w:fill="auto"/>
          </w:tcPr>
          <w:p w14:paraId="68D22AE2" w14:textId="5233F0EF" w:rsidR="00B5745C" w:rsidRDefault="00B5745C" w:rsidP="00FB23C6">
            <w:pPr>
              <w:pStyle w:val="Names"/>
            </w:pPr>
            <w:r>
              <w:t>Oct-2016</w:t>
            </w:r>
          </w:p>
        </w:tc>
        <w:tc>
          <w:tcPr>
            <w:tcW w:w="1283" w:type="dxa"/>
            <w:shd w:val="clear" w:color="auto" w:fill="auto"/>
          </w:tcPr>
          <w:p w14:paraId="61C3FF2F" w14:textId="0029848B" w:rsidR="00B5745C" w:rsidRDefault="00B5745C" w:rsidP="00FB23C6">
            <w:pPr>
              <w:pStyle w:val="Names"/>
            </w:pPr>
            <w:r>
              <w:t>Feb-2017</w:t>
            </w:r>
          </w:p>
        </w:tc>
      </w:tr>
      <w:tr w:rsidR="00B5745C" w:rsidRPr="009610A4" w14:paraId="1F48608E" w14:textId="77777777" w:rsidTr="00FB23C6">
        <w:tc>
          <w:tcPr>
            <w:tcW w:w="990" w:type="dxa"/>
            <w:shd w:val="clear" w:color="auto" w:fill="auto"/>
          </w:tcPr>
          <w:p w14:paraId="539FD515" w14:textId="55146236" w:rsidR="00B5745C" w:rsidRPr="00E72AE0" w:rsidRDefault="00B5745C" w:rsidP="00FB23C6">
            <w:pPr>
              <w:pStyle w:val="Names"/>
            </w:pPr>
            <w:r w:rsidRPr="00E72AE0">
              <w:t>Craig</w:t>
            </w:r>
          </w:p>
        </w:tc>
        <w:tc>
          <w:tcPr>
            <w:tcW w:w="1080" w:type="dxa"/>
            <w:shd w:val="clear" w:color="auto" w:fill="auto"/>
          </w:tcPr>
          <w:p w14:paraId="35BE7287" w14:textId="0A0892F4" w:rsidR="00B5745C" w:rsidRPr="00E72AE0" w:rsidRDefault="00B5745C" w:rsidP="00FB23C6">
            <w:pPr>
              <w:pStyle w:val="Names"/>
            </w:pPr>
            <w:r w:rsidRPr="00E72AE0">
              <w:t>Riffel</w:t>
            </w:r>
          </w:p>
        </w:tc>
        <w:tc>
          <w:tcPr>
            <w:tcW w:w="2442" w:type="dxa"/>
            <w:shd w:val="clear" w:color="auto" w:fill="auto"/>
          </w:tcPr>
          <w:p w14:paraId="663C6E19" w14:textId="05FA4C3F" w:rsidR="00B5745C" w:rsidRDefault="00B5745C" w:rsidP="00FB23C6">
            <w:pPr>
              <w:pStyle w:val="Names"/>
            </w:pPr>
            <w:r w:rsidRPr="00E72AE0">
              <w:t>PPG Aerospace</w:t>
            </w:r>
          </w:p>
        </w:tc>
        <w:tc>
          <w:tcPr>
            <w:tcW w:w="2083" w:type="dxa"/>
            <w:shd w:val="clear" w:color="auto" w:fill="auto"/>
          </w:tcPr>
          <w:p w14:paraId="280D7B9A" w14:textId="77777777" w:rsidR="00B5745C" w:rsidRDefault="00B5745C" w:rsidP="00FB23C6">
            <w:pPr>
              <w:pStyle w:val="Names"/>
            </w:pPr>
            <w:r>
              <w:t xml:space="preserve">ALT SVM </w:t>
            </w:r>
          </w:p>
          <w:p w14:paraId="375892BE" w14:textId="59E3864B" w:rsidR="00B5745C" w:rsidRDefault="00B5745C" w:rsidP="00FB23C6">
            <w:pPr>
              <w:pStyle w:val="Names"/>
            </w:pPr>
            <w:r>
              <w:t>(new)</w:t>
            </w:r>
          </w:p>
        </w:tc>
        <w:tc>
          <w:tcPr>
            <w:tcW w:w="1172" w:type="dxa"/>
            <w:shd w:val="clear" w:color="auto" w:fill="auto"/>
          </w:tcPr>
          <w:p w14:paraId="5C025ECF" w14:textId="4D889817" w:rsidR="00B5745C" w:rsidRDefault="00B5745C" w:rsidP="00FB23C6">
            <w:pPr>
              <w:pStyle w:val="Names"/>
            </w:pPr>
            <w:r>
              <w:t>Oct-2016</w:t>
            </w:r>
          </w:p>
        </w:tc>
        <w:tc>
          <w:tcPr>
            <w:tcW w:w="1283" w:type="dxa"/>
            <w:shd w:val="clear" w:color="auto" w:fill="auto"/>
          </w:tcPr>
          <w:p w14:paraId="61FC1898" w14:textId="0C3F8938" w:rsidR="00B5745C" w:rsidRDefault="00B5745C" w:rsidP="00FB23C6">
            <w:pPr>
              <w:pStyle w:val="Names"/>
            </w:pPr>
            <w:r>
              <w:t>Feb-2017</w:t>
            </w:r>
          </w:p>
        </w:tc>
      </w:tr>
      <w:tr w:rsidR="00B5745C" w:rsidRPr="009610A4" w14:paraId="18446C6F" w14:textId="77777777" w:rsidTr="00FB23C6">
        <w:tc>
          <w:tcPr>
            <w:tcW w:w="990" w:type="dxa"/>
            <w:shd w:val="clear" w:color="auto" w:fill="auto"/>
          </w:tcPr>
          <w:p w14:paraId="1F858344" w14:textId="5FCF0F36" w:rsidR="00B5745C" w:rsidRPr="00E72AE0" w:rsidRDefault="00B5745C" w:rsidP="00FB23C6">
            <w:pPr>
              <w:pStyle w:val="Names"/>
            </w:pPr>
            <w:r>
              <w:t xml:space="preserve">Jeff </w:t>
            </w:r>
          </w:p>
        </w:tc>
        <w:tc>
          <w:tcPr>
            <w:tcW w:w="1080" w:type="dxa"/>
            <w:shd w:val="clear" w:color="auto" w:fill="auto"/>
          </w:tcPr>
          <w:p w14:paraId="60097A81" w14:textId="616931AB" w:rsidR="00B5745C" w:rsidRPr="00E72AE0" w:rsidRDefault="00B5745C" w:rsidP="00FB23C6">
            <w:pPr>
              <w:pStyle w:val="Names"/>
            </w:pPr>
            <w:r>
              <w:t>Steele</w:t>
            </w:r>
          </w:p>
        </w:tc>
        <w:tc>
          <w:tcPr>
            <w:tcW w:w="2442" w:type="dxa"/>
            <w:shd w:val="clear" w:color="auto" w:fill="auto"/>
          </w:tcPr>
          <w:p w14:paraId="66AD868B" w14:textId="2C709EAD" w:rsidR="00B5745C" w:rsidRPr="00E72AE0" w:rsidRDefault="00B5745C" w:rsidP="00FB23C6">
            <w:pPr>
              <w:pStyle w:val="Names"/>
            </w:pPr>
            <w:r>
              <w:t>Cytec Solvay Group</w:t>
            </w:r>
          </w:p>
        </w:tc>
        <w:tc>
          <w:tcPr>
            <w:tcW w:w="2083" w:type="dxa"/>
            <w:shd w:val="clear" w:color="auto" w:fill="auto"/>
          </w:tcPr>
          <w:p w14:paraId="2A0F80FA" w14:textId="73763151" w:rsidR="00B5745C" w:rsidRDefault="00B5745C" w:rsidP="00FB23C6">
            <w:pPr>
              <w:pStyle w:val="Names"/>
            </w:pPr>
            <w:r>
              <w:t>Removed – Replaced by B. Gormley</w:t>
            </w:r>
          </w:p>
        </w:tc>
        <w:tc>
          <w:tcPr>
            <w:tcW w:w="1172" w:type="dxa"/>
            <w:shd w:val="clear" w:color="auto" w:fill="auto"/>
          </w:tcPr>
          <w:p w14:paraId="2FD3C1AD" w14:textId="77777777" w:rsidR="00B5745C" w:rsidRDefault="00B5745C" w:rsidP="00FB23C6">
            <w:pPr>
              <w:pStyle w:val="Names"/>
            </w:pPr>
          </w:p>
        </w:tc>
        <w:tc>
          <w:tcPr>
            <w:tcW w:w="1283" w:type="dxa"/>
            <w:shd w:val="clear" w:color="auto" w:fill="auto"/>
          </w:tcPr>
          <w:p w14:paraId="69B9CEEE" w14:textId="77777777" w:rsidR="00B5745C" w:rsidRDefault="00B5745C" w:rsidP="00FB23C6">
            <w:pPr>
              <w:pStyle w:val="Names"/>
            </w:pPr>
          </w:p>
        </w:tc>
      </w:tr>
    </w:tbl>
    <w:p w14:paraId="0CCD9F9A" w14:textId="77777777" w:rsidR="00764BF3" w:rsidRPr="009610A4" w:rsidRDefault="00764BF3" w:rsidP="00764BF3">
      <w:pPr>
        <w:spacing w:after="0"/>
        <w:ind w:left="720"/>
      </w:pPr>
    </w:p>
    <w:p w14:paraId="572DEAD3" w14:textId="5BB77321" w:rsidR="00FB23C6" w:rsidRDefault="00FB23C6" w:rsidP="009D07EC">
      <w:pPr>
        <w:pStyle w:val="Heading2"/>
      </w:pPr>
      <w:r w:rsidRPr="00FB23C6">
        <w:t>Review Voting Membership Meeting Attendance and Voting Participation</w:t>
      </w:r>
    </w:p>
    <w:p w14:paraId="47709789" w14:textId="525E4543" w:rsidR="00764BF3" w:rsidRDefault="00764BF3" w:rsidP="00764BF3">
      <w:pPr>
        <w:pStyle w:val="Body"/>
      </w:pPr>
      <w:r>
        <w:t>The</w:t>
      </w:r>
      <w:r w:rsidRPr="007C56EB">
        <w:t xml:space="preserve"> </w:t>
      </w:r>
      <w:r w:rsidRPr="009F46F5">
        <w:t>compliance to voting requirements</w:t>
      </w:r>
      <w:r>
        <w:t xml:space="preserve"> per PD 1100 were reviewed. </w:t>
      </w:r>
      <w:r w:rsidR="002E27EE">
        <w:t>Gulfstream Aerospace</w:t>
      </w:r>
      <w:r w:rsidR="00E42E1F">
        <w:t xml:space="preserve"> (balloting)</w:t>
      </w:r>
      <w:r w:rsidR="002E27EE">
        <w:t>, Honeywell Aerospace</w:t>
      </w:r>
      <w:r w:rsidR="00E42E1F">
        <w:t xml:space="preserve"> (balloting)</w:t>
      </w:r>
      <w:r w:rsidR="002E27EE">
        <w:t>, NAVAIR</w:t>
      </w:r>
      <w:r w:rsidR="00E42E1F">
        <w:t xml:space="preserve"> (balloting)</w:t>
      </w:r>
      <w:r w:rsidR="002E27EE">
        <w:t>, Pratt &amp; Whitney</w:t>
      </w:r>
      <w:r w:rsidR="00E42E1F">
        <w:t xml:space="preserve"> (balloting)</w:t>
      </w:r>
      <w:r w:rsidR="002E27EE">
        <w:t>, US Air</w:t>
      </w:r>
      <w:r w:rsidR="00984EBC">
        <w:t xml:space="preserve"> F</w:t>
      </w:r>
      <w:r w:rsidR="002E27EE">
        <w:t>orce</w:t>
      </w:r>
      <w:r w:rsidR="00E42E1F">
        <w:t xml:space="preserve"> (balloting)</w:t>
      </w:r>
      <w:r w:rsidR="002E27EE">
        <w:t>, and UTC Aerospace (Goodrich)</w:t>
      </w:r>
      <w:r w:rsidRPr="004F1E64">
        <w:t xml:space="preserve"> </w:t>
      </w:r>
      <w:r w:rsidR="00E42E1F">
        <w:t xml:space="preserve">(balloting) </w:t>
      </w:r>
      <w:r>
        <w:t>ha</w:t>
      </w:r>
      <w:r w:rsidR="002E27EE">
        <w:t>ve</w:t>
      </w:r>
      <w:r>
        <w:t xml:space="preserve"> not met requirements for maintaining their voting rights. Voting rights will be </w:t>
      </w:r>
      <w:r w:rsidR="00E42E1F">
        <w:t>maintained</w:t>
      </w:r>
      <w:r>
        <w:t xml:space="preserve"> per </w:t>
      </w:r>
      <w:r w:rsidR="00E42E1F">
        <w:t xml:space="preserve">the SLT </w:t>
      </w:r>
      <w:r>
        <w:t>Task Group Chairperson.</w:t>
      </w:r>
      <w:r w:rsidR="00600592">
        <w:t xml:space="preserve"> An e-mail will be sent reminding Voting Member</w:t>
      </w:r>
      <w:r w:rsidR="00953456">
        <w:t>s</w:t>
      </w:r>
      <w:r w:rsidR="00600592">
        <w:t xml:space="preserve"> that have not met the voting requirements of the importance of voting to maintain their voting membership status.</w:t>
      </w:r>
    </w:p>
    <w:p w14:paraId="1033D5A9" w14:textId="0C75E71B" w:rsidR="00600592" w:rsidRDefault="00600592" w:rsidP="00600592">
      <w:pPr>
        <w:pStyle w:val="ActionItem"/>
      </w:pPr>
      <w:r>
        <w:t>ACTION ITEM: Task Group Chairperson to contact the voting members not</w:t>
      </w:r>
      <w:r w:rsidR="00953456">
        <w:t xml:space="preserve"> in</w:t>
      </w:r>
      <w:r>
        <w:t xml:space="preserve"> compliance with voting membership requirements</w:t>
      </w:r>
      <w:r w:rsidR="00953456">
        <w:t xml:space="preserve"> to remind them to vote to maintain their status</w:t>
      </w:r>
      <w:r>
        <w:t>. (Due Date: 30-May-2017).</w:t>
      </w:r>
    </w:p>
    <w:p w14:paraId="34BCBCBC" w14:textId="05940AB0" w:rsidR="00764BF3" w:rsidRDefault="00D22DCE" w:rsidP="00764BF3">
      <w:pPr>
        <w:pStyle w:val="Heading1"/>
      </w:pPr>
      <w:r>
        <w:t>S</w:t>
      </w:r>
      <w:r w:rsidR="00296D92">
        <w:t>ea</w:t>
      </w:r>
      <w:r>
        <w:t>L</w:t>
      </w:r>
      <w:r w:rsidR="00296D92">
        <w:t>an</w:t>
      </w:r>
      <w:r>
        <w:t>T</w:t>
      </w:r>
      <w:r w:rsidR="007C305A">
        <w:t xml:space="preserve"> task group rail</w:t>
      </w:r>
      <w:r w:rsidR="00764BF3">
        <w:t xml:space="preserve"> – OPEN</w:t>
      </w:r>
    </w:p>
    <w:p w14:paraId="47A13E5B" w14:textId="39E7495D" w:rsidR="00764BF3" w:rsidRDefault="00764BF3" w:rsidP="00600592">
      <w:pPr>
        <w:pStyle w:val="Body"/>
        <w:tabs>
          <w:tab w:val="left" w:pos="5560"/>
        </w:tabs>
      </w:pPr>
      <w:r>
        <w:t>The Rolling Action Item List (RAIL) was reviewed</w:t>
      </w:r>
      <w:r w:rsidR="00600592">
        <w:t xml:space="preserve"> and updated</w:t>
      </w:r>
      <w:r>
        <w:t>.</w:t>
      </w:r>
    </w:p>
    <w:p w14:paraId="0FE1FC88" w14:textId="61FECE24" w:rsidR="00764BF3" w:rsidRDefault="00764BF3" w:rsidP="00764BF3">
      <w:pPr>
        <w:pStyle w:val="Body"/>
      </w:pPr>
      <w:r w:rsidRPr="007F7E08">
        <w:t xml:space="preserve">For specific details, please see the current </w:t>
      </w:r>
      <w:r w:rsidR="004F4664">
        <w:t>SLT</w:t>
      </w:r>
      <w:r w:rsidRPr="007F7E08">
        <w:t xml:space="preserve"> Rolling Action Item List posted at </w:t>
      </w:r>
      <w:hyperlink r:id="rId11" w:history="1">
        <w:r w:rsidRPr="00D109C4">
          <w:rPr>
            <w:rStyle w:val="Hyperlink"/>
          </w:rPr>
          <w:t>www.eAuditNet.com</w:t>
        </w:r>
      </w:hyperlink>
      <w:r w:rsidRPr="007F7E08">
        <w:t>, under Public Documents.</w:t>
      </w:r>
    </w:p>
    <w:p w14:paraId="3246B731" w14:textId="237AD644" w:rsidR="007C305A" w:rsidRDefault="007C305A" w:rsidP="00764BF3">
      <w:pPr>
        <w:pStyle w:val="Heading1"/>
      </w:pPr>
      <w:r>
        <w:t>Staff report - open</w:t>
      </w:r>
    </w:p>
    <w:p w14:paraId="30B094E8" w14:textId="429683A9" w:rsidR="007F6D44" w:rsidRDefault="007F6D44" w:rsidP="00296D92">
      <w:pPr>
        <w:pStyle w:val="Body"/>
        <w:rPr>
          <w:rFonts w:eastAsiaTheme="majorEastAsia" w:cstheme="majorBidi"/>
          <w:bCs/>
          <w:szCs w:val="26"/>
        </w:rPr>
      </w:pPr>
      <w:r>
        <w:rPr>
          <w:rFonts w:eastAsiaTheme="majorEastAsia" w:cstheme="majorBidi"/>
          <w:bCs/>
          <w:szCs w:val="26"/>
        </w:rPr>
        <w:t>L</w:t>
      </w:r>
      <w:r w:rsidR="009177E0">
        <w:rPr>
          <w:rFonts w:eastAsiaTheme="majorEastAsia" w:cstheme="majorBidi"/>
          <w:bCs/>
          <w:szCs w:val="26"/>
        </w:rPr>
        <w:t>.</w:t>
      </w:r>
      <w:r>
        <w:rPr>
          <w:rFonts w:eastAsiaTheme="majorEastAsia" w:cstheme="majorBidi"/>
          <w:bCs/>
          <w:szCs w:val="26"/>
        </w:rPr>
        <w:t xml:space="preserve"> Beene</w:t>
      </w:r>
      <w:r w:rsidRPr="00F06DB0">
        <w:rPr>
          <w:rFonts w:eastAsiaTheme="majorEastAsia" w:cstheme="majorBidi"/>
          <w:bCs/>
          <w:szCs w:val="26"/>
        </w:rPr>
        <w:t xml:space="preserve"> presented the PRI Staff Report that included Auditor Status, SLT TG Metrics, Most Common NCRs, Non-Sustaining NCRs, Latest Changes, Future Nadcap Meeting Dates and Locations, Staff Delegation Metrics, Average Number of Major and Minor NCRs, and Audit Cycle Time.</w:t>
      </w:r>
    </w:p>
    <w:p w14:paraId="7AC18603" w14:textId="4DE6A0A5" w:rsidR="00600592" w:rsidRPr="007C305A" w:rsidRDefault="00053692" w:rsidP="007F6D44">
      <w:pPr>
        <w:pStyle w:val="Body"/>
      </w:pPr>
      <w:r>
        <w:object w:dxaOrig="1551" w:dyaOrig="1004" w14:anchorId="400B4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0.1pt" o:ole="">
            <v:imagedata r:id="rId12" o:title=""/>
          </v:shape>
          <o:OLEObject Type="Embed" ProgID="AcroExch.Document.11" ShapeID="_x0000_i1025" DrawAspect="Icon" ObjectID="_1551030248" r:id="rId13"/>
        </w:object>
      </w:r>
    </w:p>
    <w:p w14:paraId="0E2CF971" w14:textId="595F237C" w:rsidR="00296D92" w:rsidRDefault="00296D92" w:rsidP="00296D92">
      <w:pPr>
        <w:pStyle w:val="Heading2"/>
      </w:pPr>
      <w:r w:rsidRPr="00296D92">
        <w:t>Auditor Status</w:t>
      </w:r>
    </w:p>
    <w:p w14:paraId="31E122D1" w14:textId="2E77D82B" w:rsidR="00F30A06" w:rsidRPr="009D07EC" w:rsidRDefault="00F30A06" w:rsidP="009D07EC">
      <w:pPr>
        <w:pStyle w:val="Body"/>
      </w:pPr>
      <w:r>
        <w:t>The SLT TG currently has six auditors, and one auditor trainee.</w:t>
      </w:r>
    </w:p>
    <w:p w14:paraId="355BBF12" w14:textId="4AB6D903" w:rsidR="007C305A" w:rsidRDefault="00FB23C6" w:rsidP="007C305A">
      <w:pPr>
        <w:pStyle w:val="Heading2"/>
      </w:pPr>
      <w:r>
        <w:t>Task Group Metrics</w:t>
      </w:r>
    </w:p>
    <w:p w14:paraId="5FFA87D6" w14:textId="54C2EF1D" w:rsidR="00F30A06" w:rsidRPr="00FD0D1D" w:rsidRDefault="00F30A06" w:rsidP="00F30A06">
      <w:pPr>
        <w:pStyle w:val="Body"/>
      </w:pPr>
      <w:r>
        <w:t>The SLT TG metrics of Average Audit Cycle Time, Most Common NCRs, Average Number of Major and Minor NCRs, Delegation Metrics</w:t>
      </w:r>
      <w:r w:rsidR="00DF7654">
        <w:t>,</w:t>
      </w:r>
      <w:r>
        <w:t xml:space="preserve"> and Non-</w:t>
      </w:r>
      <w:r w:rsidR="009143BE">
        <w:t>S</w:t>
      </w:r>
      <w:r>
        <w:t>ustaining Corrective Actions were reviewed.</w:t>
      </w:r>
    </w:p>
    <w:p w14:paraId="60885420" w14:textId="55741DBE" w:rsidR="007C305A" w:rsidRDefault="007F6D44" w:rsidP="007C305A">
      <w:pPr>
        <w:pStyle w:val="Body"/>
      </w:pPr>
      <w:r>
        <w:t>SLT TG requested that Auditor Capacity be separated by region.</w:t>
      </w:r>
    </w:p>
    <w:p w14:paraId="62A5D378" w14:textId="3225FBC9" w:rsidR="007F6D44" w:rsidRDefault="007F6D44" w:rsidP="007F6D44">
      <w:pPr>
        <w:pStyle w:val="ActionItem"/>
      </w:pPr>
      <w:r>
        <w:t xml:space="preserve">ACTION ITEM: PRI Staff to see if it is possible separate Auditor Capacity </w:t>
      </w:r>
      <w:r w:rsidR="00DF7654">
        <w:t>metric</w:t>
      </w:r>
      <w:r>
        <w:t xml:space="preserve"> into region. (Due Date: 30-May-2017).</w:t>
      </w:r>
    </w:p>
    <w:p w14:paraId="3150AD8A" w14:textId="202D33E8" w:rsidR="007C305A" w:rsidRDefault="007C305A" w:rsidP="007C305A">
      <w:pPr>
        <w:pStyle w:val="Heading2"/>
      </w:pPr>
      <w:r>
        <w:t>Most Common NCRs</w:t>
      </w:r>
    </w:p>
    <w:p w14:paraId="0C545574" w14:textId="3F358723" w:rsidR="009465EA" w:rsidRDefault="00E83F26" w:rsidP="009465EA">
      <w:pPr>
        <w:pStyle w:val="Body"/>
      </w:pPr>
      <w:r>
        <w:t xml:space="preserve">The NCRs written against AC7200/1 and AC7202 were reviewed. </w:t>
      </w:r>
      <w:r w:rsidR="00644108">
        <w:t>The most common NCRs were: 1) Calibration issues</w:t>
      </w:r>
      <w:r w:rsidR="00DF7654">
        <w:t>;</w:t>
      </w:r>
      <w:r w:rsidR="00644108">
        <w:t xml:space="preserve"> 2) Internal Procedures and </w:t>
      </w:r>
      <w:r w:rsidR="00DF7654">
        <w:t>W</w:t>
      </w:r>
      <w:r w:rsidR="00644108">
        <w:t>ork Instructions</w:t>
      </w:r>
      <w:r w:rsidR="00DF7654">
        <w:t>;</w:t>
      </w:r>
      <w:r w:rsidR="00644108">
        <w:t xml:space="preserve"> 3) Standard Test Conditions Temperature and Humidity Compliance</w:t>
      </w:r>
      <w:r w:rsidR="00DF7654">
        <w:t>;</w:t>
      </w:r>
      <w:r w:rsidR="00644108">
        <w:t xml:space="preserve"> 4) Personnel and Training Documentation issues. The</w:t>
      </w:r>
      <w:r w:rsidR="00644108" w:rsidDel="00644108">
        <w:t xml:space="preserve"> </w:t>
      </w:r>
      <w:r w:rsidR="00657624">
        <w:t xml:space="preserve">SLT </w:t>
      </w:r>
      <w:r w:rsidR="009465EA">
        <w:t xml:space="preserve">TG recommended that more specific slides be presented </w:t>
      </w:r>
      <w:r w:rsidR="00657624">
        <w:t xml:space="preserve">on </w:t>
      </w:r>
      <w:r w:rsidR="009465EA">
        <w:t xml:space="preserve">most common NCRs; it was </w:t>
      </w:r>
      <w:r w:rsidR="006427E5">
        <w:t xml:space="preserve">also </w:t>
      </w:r>
      <w:r w:rsidR="009465EA">
        <w:t xml:space="preserve">noted that </w:t>
      </w:r>
      <w:r w:rsidR="006427E5">
        <w:t xml:space="preserve">top </w:t>
      </w:r>
      <w:r w:rsidR="0037468E">
        <w:t>NCR paragraphs</w:t>
      </w:r>
      <w:r w:rsidR="009465EA">
        <w:t xml:space="preserve"> do</w:t>
      </w:r>
      <w:r w:rsidR="006427E5">
        <w:t xml:space="preserve"> </w:t>
      </w:r>
      <w:r w:rsidR="009465EA">
        <w:t>n</w:t>
      </w:r>
      <w:r w:rsidR="006427E5">
        <w:t>o</w:t>
      </w:r>
      <w:r w:rsidR="009465EA">
        <w:t xml:space="preserve">t match </w:t>
      </w:r>
      <w:r w:rsidR="0037468E">
        <w:t xml:space="preserve">the </w:t>
      </w:r>
      <w:r w:rsidR="009465EA">
        <w:t xml:space="preserve">most common </w:t>
      </w:r>
      <w:r w:rsidR="0037468E">
        <w:t>NCR’s identified</w:t>
      </w:r>
      <w:r w:rsidR="009465EA">
        <w:t>.</w:t>
      </w:r>
    </w:p>
    <w:p w14:paraId="3B767E22" w14:textId="0580E523" w:rsidR="00296D92" w:rsidRDefault="00296D92" w:rsidP="00296D92">
      <w:pPr>
        <w:pStyle w:val="Heading2"/>
      </w:pPr>
      <w:r w:rsidRPr="00296D92">
        <w:t>Non-Sustaining NCRs</w:t>
      </w:r>
    </w:p>
    <w:p w14:paraId="3CE32D3B" w14:textId="415A9EB5" w:rsidR="00644108" w:rsidRPr="009D07EC" w:rsidRDefault="00644108" w:rsidP="009D07EC">
      <w:pPr>
        <w:pStyle w:val="Body"/>
      </w:pPr>
      <w:r>
        <w:t>In the last 12 months 3 Non-Sustaining NCR’s were issued.</w:t>
      </w:r>
    </w:p>
    <w:p w14:paraId="3A0E943A" w14:textId="2BCD7581" w:rsidR="009465EA" w:rsidRDefault="007C305A" w:rsidP="009465EA">
      <w:pPr>
        <w:pStyle w:val="Heading2"/>
      </w:pPr>
      <w:r>
        <w:t>Latest Changes</w:t>
      </w:r>
    </w:p>
    <w:p w14:paraId="042198B4" w14:textId="2452C6FD" w:rsidR="009465EA" w:rsidRPr="009465EA" w:rsidRDefault="0075218E">
      <w:pPr>
        <w:pStyle w:val="Body"/>
      </w:pPr>
      <w:r>
        <w:t>The latest changes in eAuditNet were reviewed</w:t>
      </w:r>
      <w:r w:rsidR="008901BB">
        <w:t>.</w:t>
      </w:r>
      <w:r w:rsidR="00644108">
        <w:t xml:space="preserve"> </w:t>
      </w:r>
      <w:r w:rsidR="008901BB">
        <w:t>O</w:t>
      </w:r>
      <w:r w:rsidR="00644108">
        <w:t>f particular interest w</w:t>
      </w:r>
      <w:r w:rsidR="008901BB">
        <w:t>ere</w:t>
      </w:r>
      <w:r w:rsidR="00644108">
        <w:t xml:space="preserve"> the Self-Audit Upload function and Risk Mitigation</w:t>
      </w:r>
      <w:r w:rsidR="008901BB">
        <w:t xml:space="preserve"> changes</w:t>
      </w:r>
      <w:r w:rsidR="00644108">
        <w:t>.</w:t>
      </w:r>
    </w:p>
    <w:p w14:paraId="5650B0DD" w14:textId="3ACAF562" w:rsidR="007C305A" w:rsidRDefault="007C305A" w:rsidP="007C305A">
      <w:pPr>
        <w:pStyle w:val="Heading2"/>
      </w:pPr>
      <w:r>
        <w:t>Future Nadcap Meeting Dates and Locations</w:t>
      </w:r>
    </w:p>
    <w:p w14:paraId="7054A1E8" w14:textId="77777777" w:rsidR="00644108" w:rsidRPr="00B0063E" w:rsidRDefault="00644108" w:rsidP="00644108">
      <w:pPr>
        <w:pStyle w:val="Body"/>
      </w:pPr>
      <w:r>
        <w:t xml:space="preserve">The future Nadcap meeting schedule is as follows: 5-8 June 2017 Berlin Germany, 24-28 October 2017 Pittsburgh Pennsylvania, 19-22 February 2018 Madrid Spain. </w:t>
      </w:r>
    </w:p>
    <w:p w14:paraId="2CA9CFFB" w14:textId="5CEAC85C" w:rsidR="009465EA" w:rsidRPr="007C305A" w:rsidRDefault="009465EA" w:rsidP="009465EA">
      <w:pPr>
        <w:pStyle w:val="Body"/>
      </w:pPr>
      <w:r w:rsidRPr="009465EA">
        <w:t>The</w:t>
      </w:r>
      <w:r>
        <w:t xml:space="preserve"> </w:t>
      </w:r>
      <w:r w:rsidR="004F4664">
        <w:t>SLT</w:t>
      </w:r>
      <w:r w:rsidR="0079562D">
        <w:t xml:space="preserve"> TG</w:t>
      </w:r>
      <w:r>
        <w:t xml:space="preserve"> was asked about possible attendance for </w:t>
      </w:r>
      <w:r w:rsidR="0079562D">
        <w:t>an Asia</w:t>
      </w:r>
      <w:r>
        <w:t xml:space="preserve"> Feb</w:t>
      </w:r>
      <w:r w:rsidR="0079562D">
        <w:t>ruary</w:t>
      </w:r>
      <w:r>
        <w:t xml:space="preserve"> 2020 Meeting. The Chairperson was the only </w:t>
      </w:r>
      <w:r w:rsidR="0079562D">
        <w:t>task group</w:t>
      </w:r>
      <w:r>
        <w:t xml:space="preserve"> member comm</w:t>
      </w:r>
      <w:r w:rsidR="00FB23C6">
        <w:t>itting to possible attendance.</w:t>
      </w:r>
    </w:p>
    <w:p w14:paraId="5B92CF05" w14:textId="18D384E2" w:rsidR="00296D92" w:rsidRDefault="00296D92" w:rsidP="00296D92">
      <w:pPr>
        <w:pStyle w:val="Heading2"/>
      </w:pPr>
      <w:r w:rsidRPr="00296D92">
        <w:t>Staff Engineer Delegation</w:t>
      </w:r>
    </w:p>
    <w:p w14:paraId="059D9C22" w14:textId="16A8A610" w:rsidR="009143BE" w:rsidRPr="009D07EC" w:rsidRDefault="009143BE" w:rsidP="009D07EC">
      <w:pPr>
        <w:pStyle w:val="Body"/>
      </w:pPr>
      <w:r>
        <w:t>Staff Engineer Delegation metrics of K. Purnell and J. Lewis were reviewed.</w:t>
      </w:r>
    </w:p>
    <w:p w14:paraId="26A4554C" w14:textId="7142D7F6" w:rsidR="007C305A" w:rsidRPr="00380B46" w:rsidRDefault="007C305A" w:rsidP="00764BF3">
      <w:pPr>
        <w:pStyle w:val="Heading1"/>
      </w:pPr>
      <w:r w:rsidRPr="00380B46">
        <w:t>SSC Report – open</w:t>
      </w:r>
    </w:p>
    <w:p w14:paraId="23EA86E3" w14:textId="3E6EBD1A" w:rsidR="004F4664" w:rsidRDefault="004F4664" w:rsidP="004F4664">
      <w:pPr>
        <w:pStyle w:val="Body"/>
      </w:pPr>
      <w:r>
        <w:t>S. DeMoss</w:t>
      </w:r>
      <w:r w:rsidRPr="0019525E">
        <w:t xml:space="preserve"> presented the Supplier Support Committee (SSC) update that included an overview of the SSC Leadership Team, how the SSC helps suppliers, curren</w:t>
      </w:r>
      <w:r w:rsidRPr="00D24E3D">
        <w:t>t SSC activities</w:t>
      </w:r>
      <w:r>
        <w:t>,</w:t>
      </w:r>
      <w:r w:rsidRPr="00D24E3D">
        <w:t xml:space="preserve"> and their new Supplier Initiatives. For additional information please review the SSC minutes posted on the </w:t>
      </w:r>
      <w:hyperlink w:history="1"/>
      <w:r w:rsidRPr="0019525E">
        <w:t xml:space="preserve">PRI website at </w:t>
      </w:r>
      <w:hyperlink r:id="rId14" w:history="1">
        <w:r w:rsidRPr="00D24E3D">
          <w:rPr>
            <w:rStyle w:val="Hyperlink"/>
            <w:color w:val="auto"/>
            <w:u w:val="none"/>
          </w:rPr>
          <w:t>www.p-r-i.org</w:t>
        </w:r>
      </w:hyperlink>
      <w:r w:rsidRPr="0019525E">
        <w:t>.</w:t>
      </w:r>
    </w:p>
    <w:p w14:paraId="6746EB48" w14:textId="66D9D0A9" w:rsidR="004F4664" w:rsidRDefault="004F4664" w:rsidP="004F4664">
      <w:pPr>
        <w:pStyle w:val="Body"/>
      </w:pPr>
      <w:r>
        <w:t>R. Hendricks volunteered to be the SSC Representative for the SLT TG.</w:t>
      </w:r>
    </w:p>
    <w:p w14:paraId="4D26E372" w14:textId="6005DC1E" w:rsidR="004F4664" w:rsidRPr="0019525E" w:rsidRDefault="004F4664" w:rsidP="004F4664">
      <w:pPr>
        <w:pStyle w:val="Body"/>
      </w:pPr>
      <w:r>
        <w:t>Motion made by S. DeMoss and seconded by A. Fletcher to approve R. Hendricks as SSC Representative for SLT TG. Motion Passed.</w:t>
      </w:r>
    </w:p>
    <w:p w14:paraId="1EAE2B60" w14:textId="2FD1D1E8" w:rsidR="007C305A" w:rsidRDefault="007C305A" w:rsidP="00764BF3">
      <w:pPr>
        <w:pStyle w:val="Heading1"/>
      </w:pPr>
      <w:r>
        <w:t>review of procedure changes – open</w:t>
      </w:r>
    </w:p>
    <w:p w14:paraId="4A48DEC1" w14:textId="3462052C" w:rsidR="007C305A" w:rsidRDefault="007C305A" w:rsidP="007C305A">
      <w:pPr>
        <w:pStyle w:val="Heading2"/>
      </w:pPr>
      <w:r>
        <w:t>Review any changes to General Operating Procedures since the last meeting</w:t>
      </w:r>
    </w:p>
    <w:p w14:paraId="2F6D4825" w14:textId="2A6DEA26" w:rsidR="007C305A" w:rsidRDefault="0075218E" w:rsidP="0010782D">
      <w:pPr>
        <w:pStyle w:val="Body"/>
      </w:pPr>
      <w:r>
        <w:t>K. DeFranco</w:t>
      </w:r>
      <w:r w:rsidR="0010782D">
        <w:t xml:space="preserve"> presented the summary of changes </w:t>
      </w:r>
      <w:r w:rsidR="0010782D" w:rsidRPr="00750363">
        <w:t xml:space="preserve">to General Operating Procedures </w:t>
      </w:r>
      <w:r w:rsidR="00E42E1F">
        <w:t xml:space="preserve">PD 1100, OP 1102, OP 1105, OP 1106, OP 1112, OP 1116, OP1118, OP 1123, and OP 1124 </w:t>
      </w:r>
      <w:r w:rsidR="0010782D" w:rsidRPr="00750363">
        <w:t xml:space="preserve">since the </w:t>
      </w:r>
      <w:r w:rsidR="0010782D">
        <w:t>October 2016</w:t>
      </w:r>
      <w:r w:rsidR="0010782D" w:rsidRPr="00750363">
        <w:t xml:space="preserve"> meeting</w:t>
      </w:r>
      <w:r w:rsidR="0010782D">
        <w:t xml:space="preserve">. </w:t>
      </w:r>
      <w:r w:rsidR="006D65A3">
        <w:t xml:space="preserve">It was </w:t>
      </w:r>
      <w:r w:rsidR="0010782D">
        <w:t>recommended, during the review of OP1118 Changes</w:t>
      </w:r>
      <w:r w:rsidR="006D65A3">
        <w:t>,</w:t>
      </w:r>
      <w:r w:rsidR="0010782D">
        <w:t xml:space="preserve"> that </w:t>
      </w:r>
      <w:r w:rsidR="00735A12">
        <w:t>there should be a m</w:t>
      </w:r>
      <w:r w:rsidR="0010782D">
        <w:t xml:space="preserve">etric </w:t>
      </w:r>
      <w:r w:rsidR="00735A12">
        <w:t>that</w:t>
      </w:r>
      <w:r w:rsidR="0010782D">
        <w:t xml:space="preserve"> show</w:t>
      </w:r>
      <w:r w:rsidR="00735A12">
        <w:t>s</w:t>
      </w:r>
      <w:r w:rsidR="0010782D">
        <w:t xml:space="preserve"> the number of NCR’s written during Observed audits versus Non-Observed audits.</w:t>
      </w:r>
    </w:p>
    <w:p w14:paraId="446237FA" w14:textId="0E758125" w:rsidR="007C305A" w:rsidRDefault="007C305A" w:rsidP="007C305A">
      <w:pPr>
        <w:pStyle w:val="Heading2"/>
      </w:pPr>
      <w:r>
        <w:t>Review changes to OP 1114 and OP 1116 Appendices since the last meeting</w:t>
      </w:r>
    </w:p>
    <w:p w14:paraId="4CE829C7" w14:textId="2CF1F691" w:rsidR="007C305A" w:rsidRPr="009611DD" w:rsidRDefault="009611DD" w:rsidP="009611DD">
      <w:pPr>
        <w:pStyle w:val="Body"/>
      </w:pPr>
      <w:r>
        <w:t>There were no changes to OP 1114 Appendix SLT or OP 1116 Appendix SLT since the October 2016 meeting.</w:t>
      </w:r>
    </w:p>
    <w:p w14:paraId="3FA7B656" w14:textId="3689A41D" w:rsidR="007C305A" w:rsidRDefault="00D22DCE" w:rsidP="00764BF3">
      <w:pPr>
        <w:pStyle w:val="Heading1"/>
      </w:pPr>
      <w:r>
        <w:t>status of Aero Structure assembly task group</w:t>
      </w:r>
      <w:r w:rsidR="00FB23C6">
        <w:t xml:space="preserve"> – open</w:t>
      </w:r>
    </w:p>
    <w:p w14:paraId="0507B4FA" w14:textId="38B8FC7C" w:rsidR="007C305A" w:rsidRDefault="00447A27" w:rsidP="007C305A">
      <w:pPr>
        <w:pStyle w:val="Body"/>
      </w:pPr>
      <w:r>
        <w:t>An u</w:t>
      </w:r>
      <w:r w:rsidR="007C305A">
        <w:t xml:space="preserve">pdate on the </w:t>
      </w:r>
      <w:r w:rsidR="00D22DCE">
        <w:t>activities of Aero Structure Assembly Task Group</w:t>
      </w:r>
      <w:r w:rsidR="0075218E">
        <w:t xml:space="preserve"> was presented by K. DeFranco.</w:t>
      </w:r>
    </w:p>
    <w:p w14:paraId="16118BB1" w14:textId="7D5C4902" w:rsidR="0075218E" w:rsidRPr="007C305A" w:rsidRDefault="00053692" w:rsidP="007C305A">
      <w:pPr>
        <w:pStyle w:val="Body"/>
      </w:pPr>
      <w:r>
        <w:object w:dxaOrig="1551" w:dyaOrig="1004" w14:anchorId="27E7E08E">
          <v:shape id="_x0000_i1026" type="#_x0000_t75" style="width:77.75pt;height:50.1pt" o:ole="">
            <v:imagedata r:id="rId15" o:title=""/>
          </v:shape>
          <o:OLEObject Type="Embed" ProgID="AcroExch.Document.11" ShapeID="_x0000_i1026" DrawAspect="Icon" ObjectID="_1551030249" r:id="rId16"/>
        </w:object>
      </w:r>
    </w:p>
    <w:p w14:paraId="594D3FC7" w14:textId="58045CBC" w:rsidR="007C305A" w:rsidRDefault="00D22DCE" w:rsidP="00764BF3">
      <w:pPr>
        <w:pStyle w:val="Heading1"/>
      </w:pPr>
      <w:r>
        <w:t>sealant surveillance</w:t>
      </w:r>
      <w:r w:rsidR="007C305A">
        <w:t xml:space="preserve"> – open</w:t>
      </w:r>
    </w:p>
    <w:p w14:paraId="56663E64" w14:textId="4BF5E600" w:rsidR="003959B0" w:rsidRPr="003E1DC9" w:rsidRDefault="003959B0" w:rsidP="003959B0">
      <w:pPr>
        <w:pStyle w:val="Body"/>
      </w:pPr>
      <w:r w:rsidRPr="003E1DC9">
        <w:t>SLT Surveillance Auditors identified 175 issues during surveillance</w:t>
      </w:r>
      <w:r w:rsidR="00447A27" w:rsidRPr="00447A27">
        <w:t xml:space="preserve"> </w:t>
      </w:r>
      <w:r w:rsidR="00447A27" w:rsidRPr="003E1DC9">
        <w:t>in 2016</w:t>
      </w:r>
      <w:r w:rsidRPr="003E1DC9">
        <w:t>. These are divided into eighteen (18) different categories. A brief summary of the issues identified during Sealant Surveillance from 1-Jan-2016 to 31-Dec-2016 w</w:t>
      </w:r>
      <w:r w:rsidR="00447A27">
        <w:t>as</w:t>
      </w:r>
      <w:r w:rsidRPr="003E1DC9">
        <w:t xml:space="preserve"> presented</w:t>
      </w:r>
      <w:r w:rsidR="00FB23C6">
        <w:rPr>
          <w:rStyle w:val="CommentReference"/>
          <w:b/>
        </w:rPr>
        <w:t>:</w:t>
      </w:r>
    </w:p>
    <w:tbl>
      <w:tblPr>
        <w:tblStyle w:val="TableGrid"/>
        <w:tblW w:w="9124" w:type="dxa"/>
        <w:tblInd w:w="720" w:type="dxa"/>
        <w:tblLook w:val="04A0" w:firstRow="1" w:lastRow="0" w:firstColumn="1" w:lastColumn="0" w:noHBand="0" w:noVBand="1"/>
      </w:tblPr>
      <w:tblGrid>
        <w:gridCol w:w="7345"/>
        <w:gridCol w:w="1779"/>
      </w:tblGrid>
      <w:tr w:rsidR="003959B0" w14:paraId="5529CFF2" w14:textId="77777777" w:rsidTr="00F05558">
        <w:tc>
          <w:tcPr>
            <w:tcW w:w="7345" w:type="dxa"/>
            <w:vAlign w:val="bottom"/>
          </w:tcPr>
          <w:p w14:paraId="2B74775E" w14:textId="77777777" w:rsidR="003959B0" w:rsidRPr="00416F7E" w:rsidRDefault="003959B0" w:rsidP="00F05558">
            <w:pPr>
              <w:rPr>
                <w:rFonts w:eastAsia="Times New Roman" w:cs="Arial"/>
                <w:b/>
                <w:bCs/>
                <w:szCs w:val="20"/>
              </w:rPr>
            </w:pPr>
            <w:r w:rsidRPr="00416F7E">
              <w:rPr>
                <w:rFonts w:eastAsia="Times New Roman" w:cs="Arial"/>
                <w:b/>
                <w:bCs/>
                <w:szCs w:val="20"/>
              </w:rPr>
              <w:t>ERROR CODES:</w:t>
            </w:r>
          </w:p>
        </w:tc>
        <w:tc>
          <w:tcPr>
            <w:tcW w:w="1779" w:type="dxa"/>
          </w:tcPr>
          <w:p w14:paraId="2E142059" w14:textId="77777777" w:rsidR="003959B0" w:rsidRDefault="003959B0" w:rsidP="00F05558">
            <w:r>
              <w:t>Occurrences</w:t>
            </w:r>
          </w:p>
        </w:tc>
      </w:tr>
      <w:tr w:rsidR="003959B0" w14:paraId="44FFBBDA" w14:textId="77777777" w:rsidTr="00F05558">
        <w:tc>
          <w:tcPr>
            <w:tcW w:w="7345" w:type="dxa"/>
            <w:vAlign w:val="bottom"/>
          </w:tcPr>
          <w:p w14:paraId="401B5A0B" w14:textId="77777777" w:rsidR="003959B0" w:rsidRPr="00416F7E" w:rsidRDefault="003959B0" w:rsidP="00F05558">
            <w:pPr>
              <w:rPr>
                <w:rFonts w:eastAsia="Times New Roman" w:cs="Arial"/>
                <w:szCs w:val="20"/>
              </w:rPr>
            </w:pPr>
            <w:r w:rsidRPr="00416F7E">
              <w:rPr>
                <w:rFonts w:eastAsia="Times New Roman" w:cs="Arial"/>
                <w:szCs w:val="20"/>
              </w:rPr>
              <w:t>A) simple typo such as spelling, punctuation, decimal point, or transposition</w:t>
            </w:r>
          </w:p>
        </w:tc>
        <w:tc>
          <w:tcPr>
            <w:tcW w:w="1779" w:type="dxa"/>
          </w:tcPr>
          <w:p w14:paraId="745A3DBF" w14:textId="77777777" w:rsidR="003959B0" w:rsidRDefault="003959B0" w:rsidP="00F05558">
            <w:r>
              <w:t>5</w:t>
            </w:r>
          </w:p>
        </w:tc>
      </w:tr>
      <w:tr w:rsidR="003959B0" w14:paraId="29F045F9" w14:textId="77777777" w:rsidTr="00F05558">
        <w:tc>
          <w:tcPr>
            <w:tcW w:w="7345" w:type="dxa"/>
            <w:vAlign w:val="bottom"/>
          </w:tcPr>
          <w:p w14:paraId="21D67097" w14:textId="77777777" w:rsidR="003959B0" w:rsidRPr="00416F7E" w:rsidRDefault="003959B0" w:rsidP="00F05558">
            <w:pPr>
              <w:rPr>
                <w:rFonts w:eastAsia="Times New Roman" w:cs="Arial"/>
                <w:szCs w:val="20"/>
              </w:rPr>
            </w:pPr>
            <w:r w:rsidRPr="00416F7E">
              <w:rPr>
                <w:rFonts w:eastAsia="Times New Roman" w:cs="Arial"/>
                <w:szCs w:val="20"/>
              </w:rPr>
              <w:t>B) test result omitted</w:t>
            </w:r>
          </w:p>
        </w:tc>
        <w:tc>
          <w:tcPr>
            <w:tcW w:w="1779" w:type="dxa"/>
          </w:tcPr>
          <w:p w14:paraId="3AAA14E4" w14:textId="77777777" w:rsidR="003959B0" w:rsidRDefault="003959B0" w:rsidP="00F05558">
            <w:r>
              <w:t>1</w:t>
            </w:r>
          </w:p>
        </w:tc>
      </w:tr>
      <w:tr w:rsidR="003959B0" w14:paraId="52D9F7A4" w14:textId="77777777" w:rsidTr="00F05558">
        <w:tc>
          <w:tcPr>
            <w:tcW w:w="7345" w:type="dxa"/>
            <w:vAlign w:val="bottom"/>
          </w:tcPr>
          <w:p w14:paraId="01B91E74" w14:textId="77777777" w:rsidR="003959B0" w:rsidRPr="00416F7E" w:rsidRDefault="003959B0" w:rsidP="00F05558">
            <w:pPr>
              <w:rPr>
                <w:rFonts w:eastAsia="Times New Roman" w:cs="Arial"/>
                <w:szCs w:val="20"/>
              </w:rPr>
            </w:pPr>
            <w:r w:rsidRPr="00416F7E">
              <w:rPr>
                <w:rFonts w:eastAsia="Times New Roman" w:cs="Arial"/>
                <w:szCs w:val="20"/>
              </w:rPr>
              <w:t>C) wrong test result value reported</w:t>
            </w:r>
          </w:p>
        </w:tc>
        <w:tc>
          <w:tcPr>
            <w:tcW w:w="1779" w:type="dxa"/>
          </w:tcPr>
          <w:p w14:paraId="35D1F613" w14:textId="77777777" w:rsidR="003959B0" w:rsidRDefault="003959B0" w:rsidP="00F05558">
            <w:r>
              <w:t>50</w:t>
            </w:r>
          </w:p>
        </w:tc>
      </w:tr>
      <w:tr w:rsidR="003959B0" w14:paraId="73B207D1" w14:textId="77777777" w:rsidTr="00F05558">
        <w:tc>
          <w:tcPr>
            <w:tcW w:w="7345" w:type="dxa"/>
            <w:vAlign w:val="bottom"/>
          </w:tcPr>
          <w:p w14:paraId="0EFE3D07" w14:textId="77777777" w:rsidR="003959B0" w:rsidRPr="00416F7E" w:rsidRDefault="003959B0" w:rsidP="00F05558">
            <w:pPr>
              <w:rPr>
                <w:rFonts w:eastAsia="Times New Roman" w:cs="Arial"/>
                <w:szCs w:val="20"/>
              </w:rPr>
            </w:pPr>
            <w:r w:rsidRPr="00416F7E">
              <w:rPr>
                <w:rFonts w:eastAsia="Times New Roman" w:cs="Arial"/>
                <w:szCs w:val="20"/>
              </w:rPr>
              <w:t>D) calculation error</w:t>
            </w:r>
          </w:p>
        </w:tc>
        <w:tc>
          <w:tcPr>
            <w:tcW w:w="1779" w:type="dxa"/>
          </w:tcPr>
          <w:p w14:paraId="4A77DEFA" w14:textId="77777777" w:rsidR="003959B0" w:rsidRDefault="003959B0" w:rsidP="00F05558">
            <w:r>
              <w:t>0</w:t>
            </w:r>
          </w:p>
        </w:tc>
      </w:tr>
      <w:tr w:rsidR="003959B0" w14:paraId="4DECB334" w14:textId="77777777" w:rsidTr="00F05558">
        <w:tc>
          <w:tcPr>
            <w:tcW w:w="7345" w:type="dxa"/>
            <w:vAlign w:val="bottom"/>
          </w:tcPr>
          <w:p w14:paraId="0FE2C574" w14:textId="77777777" w:rsidR="003959B0" w:rsidRPr="00416F7E" w:rsidRDefault="003959B0" w:rsidP="00F05558">
            <w:pPr>
              <w:rPr>
                <w:rFonts w:eastAsia="Times New Roman" w:cs="Arial"/>
                <w:szCs w:val="20"/>
              </w:rPr>
            </w:pPr>
            <w:r w:rsidRPr="00416F7E">
              <w:rPr>
                <w:rFonts w:eastAsia="Times New Roman" w:cs="Arial"/>
                <w:szCs w:val="20"/>
              </w:rPr>
              <w:t>E) wrong time, temperature, relative humidity, or fluid used</w:t>
            </w:r>
          </w:p>
        </w:tc>
        <w:tc>
          <w:tcPr>
            <w:tcW w:w="1779" w:type="dxa"/>
          </w:tcPr>
          <w:p w14:paraId="09BDB59B" w14:textId="77777777" w:rsidR="003959B0" w:rsidRDefault="003959B0" w:rsidP="00F05558">
            <w:r>
              <w:t>0</w:t>
            </w:r>
          </w:p>
        </w:tc>
      </w:tr>
      <w:tr w:rsidR="003959B0" w14:paraId="029B297E" w14:textId="77777777" w:rsidTr="00F05558">
        <w:tc>
          <w:tcPr>
            <w:tcW w:w="7345" w:type="dxa"/>
            <w:vAlign w:val="bottom"/>
          </w:tcPr>
          <w:p w14:paraId="0CA3BF11" w14:textId="77777777" w:rsidR="003959B0" w:rsidRPr="00416F7E" w:rsidRDefault="003959B0" w:rsidP="00F05558">
            <w:pPr>
              <w:rPr>
                <w:rFonts w:eastAsia="Times New Roman" w:cs="Arial"/>
                <w:szCs w:val="20"/>
              </w:rPr>
            </w:pPr>
            <w:r w:rsidRPr="00416F7E">
              <w:rPr>
                <w:rFonts w:eastAsia="Times New Roman" w:cs="Arial"/>
                <w:szCs w:val="20"/>
              </w:rPr>
              <w:t>F) wrong test procedure used</w:t>
            </w:r>
          </w:p>
        </w:tc>
        <w:tc>
          <w:tcPr>
            <w:tcW w:w="1779" w:type="dxa"/>
          </w:tcPr>
          <w:p w14:paraId="00E5953E" w14:textId="77777777" w:rsidR="003959B0" w:rsidRDefault="003959B0" w:rsidP="00F05558">
            <w:r>
              <w:t>0</w:t>
            </w:r>
          </w:p>
        </w:tc>
      </w:tr>
      <w:tr w:rsidR="003959B0" w14:paraId="6FE1D821" w14:textId="77777777" w:rsidTr="00F05558">
        <w:tc>
          <w:tcPr>
            <w:tcW w:w="7345" w:type="dxa"/>
            <w:vAlign w:val="bottom"/>
          </w:tcPr>
          <w:p w14:paraId="15938292" w14:textId="77777777" w:rsidR="003959B0" w:rsidRPr="00416F7E" w:rsidRDefault="003959B0" w:rsidP="00F05558">
            <w:pPr>
              <w:rPr>
                <w:rFonts w:eastAsia="Times New Roman" w:cs="Arial"/>
                <w:szCs w:val="20"/>
              </w:rPr>
            </w:pPr>
            <w:r w:rsidRPr="00416F7E">
              <w:rPr>
                <w:rFonts w:eastAsia="Times New Roman" w:cs="Arial"/>
                <w:szCs w:val="20"/>
              </w:rPr>
              <w:t>G) wrong batch / lot numbers</w:t>
            </w:r>
          </w:p>
        </w:tc>
        <w:tc>
          <w:tcPr>
            <w:tcW w:w="1779" w:type="dxa"/>
          </w:tcPr>
          <w:p w14:paraId="5704D811" w14:textId="77777777" w:rsidR="003959B0" w:rsidRDefault="003959B0" w:rsidP="00F05558">
            <w:r>
              <w:t>2</w:t>
            </w:r>
          </w:p>
        </w:tc>
      </w:tr>
      <w:tr w:rsidR="003959B0" w14:paraId="1C980E73" w14:textId="77777777" w:rsidTr="00F05558">
        <w:tc>
          <w:tcPr>
            <w:tcW w:w="7345" w:type="dxa"/>
            <w:vAlign w:val="bottom"/>
          </w:tcPr>
          <w:p w14:paraId="462D6B51" w14:textId="77777777" w:rsidR="003959B0" w:rsidRPr="00416F7E" w:rsidRDefault="003959B0" w:rsidP="00F05558">
            <w:pPr>
              <w:rPr>
                <w:rFonts w:eastAsia="Times New Roman" w:cs="Arial"/>
                <w:szCs w:val="20"/>
              </w:rPr>
            </w:pPr>
            <w:r w:rsidRPr="00416F7E">
              <w:rPr>
                <w:rFonts w:eastAsia="Times New Roman" w:cs="Arial"/>
                <w:szCs w:val="20"/>
              </w:rPr>
              <w:t>H) test equipment out of tolerance</w:t>
            </w:r>
          </w:p>
        </w:tc>
        <w:tc>
          <w:tcPr>
            <w:tcW w:w="1779" w:type="dxa"/>
          </w:tcPr>
          <w:p w14:paraId="577AC9AE" w14:textId="77777777" w:rsidR="003959B0" w:rsidRDefault="003959B0" w:rsidP="00F05558">
            <w:r>
              <w:t>0</w:t>
            </w:r>
          </w:p>
        </w:tc>
      </w:tr>
      <w:tr w:rsidR="003959B0" w14:paraId="18F0DAB5" w14:textId="77777777" w:rsidTr="00F05558">
        <w:tc>
          <w:tcPr>
            <w:tcW w:w="7345" w:type="dxa"/>
            <w:vAlign w:val="bottom"/>
          </w:tcPr>
          <w:p w14:paraId="106F1D62" w14:textId="77777777" w:rsidR="003959B0" w:rsidRPr="00416F7E" w:rsidRDefault="003959B0" w:rsidP="00F05558">
            <w:pPr>
              <w:rPr>
                <w:rFonts w:eastAsia="Times New Roman" w:cs="Arial"/>
                <w:szCs w:val="20"/>
              </w:rPr>
            </w:pPr>
            <w:r w:rsidRPr="00416F7E">
              <w:rPr>
                <w:rFonts w:eastAsia="Times New Roman" w:cs="Arial"/>
                <w:szCs w:val="20"/>
              </w:rPr>
              <w:t>I) spec procedure not followed</w:t>
            </w:r>
          </w:p>
        </w:tc>
        <w:tc>
          <w:tcPr>
            <w:tcW w:w="1779" w:type="dxa"/>
          </w:tcPr>
          <w:p w14:paraId="11C6F6A5" w14:textId="77777777" w:rsidR="003959B0" w:rsidRDefault="003959B0" w:rsidP="00F05558">
            <w:r>
              <w:t>1</w:t>
            </w:r>
          </w:p>
        </w:tc>
      </w:tr>
      <w:tr w:rsidR="003959B0" w14:paraId="3FCDB621" w14:textId="77777777" w:rsidTr="00F05558">
        <w:tc>
          <w:tcPr>
            <w:tcW w:w="7345" w:type="dxa"/>
            <w:vAlign w:val="bottom"/>
          </w:tcPr>
          <w:p w14:paraId="6B02FF28" w14:textId="77777777" w:rsidR="003959B0" w:rsidRPr="00416F7E" w:rsidRDefault="003959B0" w:rsidP="00F05558">
            <w:pPr>
              <w:rPr>
                <w:rFonts w:eastAsia="Times New Roman" w:cs="Arial"/>
                <w:szCs w:val="20"/>
              </w:rPr>
            </w:pPr>
            <w:r w:rsidRPr="00416F7E">
              <w:rPr>
                <w:rFonts w:eastAsia="Times New Roman" w:cs="Arial"/>
                <w:szCs w:val="20"/>
              </w:rPr>
              <w:t>J) test report without correct date or signature missing</w:t>
            </w:r>
          </w:p>
        </w:tc>
        <w:tc>
          <w:tcPr>
            <w:tcW w:w="1779" w:type="dxa"/>
          </w:tcPr>
          <w:p w14:paraId="6D03A494" w14:textId="77777777" w:rsidR="003959B0" w:rsidRDefault="003959B0" w:rsidP="00F05558">
            <w:r>
              <w:t>18</w:t>
            </w:r>
          </w:p>
        </w:tc>
      </w:tr>
      <w:tr w:rsidR="003959B0" w14:paraId="3950AF4C" w14:textId="77777777" w:rsidTr="00F05558">
        <w:tc>
          <w:tcPr>
            <w:tcW w:w="7345" w:type="dxa"/>
            <w:vAlign w:val="bottom"/>
          </w:tcPr>
          <w:p w14:paraId="51D0ED46" w14:textId="77777777" w:rsidR="003959B0" w:rsidRPr="00416F7E" w:rsidRDefault="003959B0" w:rsidP="00F05558">
            <w:pPr>
              <w:rPr>
                <w:rFonts w:eastAsia="Times New Roman" w:cs="Arial"/>
                <w:szCs w:val="20"/>
              </w:rPr>
            </w:pPr>
            <w:r w:rsidRPr="00416F7E">
              <w:rPr>
                <w:rFonts w:eastAsia="Times New Roman" w:cs="Arial"/>
                <w:szCs w:val="20"/>
              </w:rPr>
              <w:t>K) wrong test specimen prep (size, shape, thickness or substrate)</w:t>
            </w:r>
          </w:p>
        </w:tc>
        <w:tc>
          <w:tcPr>
            <w:tcW w:w="1779" w:type="dxa"/>
          </w:tcPr>
          <w:p w14:paraId="572B75BD" w14:textId="77777777" w:rsidR="003959B0" w:rsidRDefault="003959B0" w:rsidP="00F05558">
            <w:r>
              <w:t>0</w:t>
            </w:r>
          </w:p>
        </w:tc>
      </w:tr>
      <w:tr w:rsidR="003959B0" w14:paraId="4BF423F7" w14:textId="77777777" w:rsidTr="00F05558">
        <w:tc>
          <w:tcPr>
            <w:tcW w:w="7345" w:type="dxa"/>
            <w:vAlign w:val="bottom"/>
          </w:tcPr>
          <w:p w14:paraId="6761D611" w14:textId="77777777" w:rsidR="003959B0" w:rsidRPr="00416F7E" w:rsidRDefault="003959B0" w:rsidP="00F05558">
            <w:pPr>
              <w:rPr>
                <w:rFonts w:eastAsia="Times New Roman" w:cs="Arial"/>
                <w:szCs w:val="20"/>
              </w:rPr>
            </w:pPr>
            <w:r w:rsidRPr="00416F7E">
              <w:rPr>
                <w:rFonts w:eastAsia="Times New Roman" w:cs="Arial"/>
                <w:szCs w:val="20"/>
              </w:rPr>
              <w:t>L) calibration dates past due, stickers missing or certificates in error</w:t>
            </w:r>
          </w:p>
        </w:tc>
        <w:tc>
          <w:tcPr>
            <w:tcW w:w="1779" w:type="dxa"/>
          </w:tcPr>
          <w:p w14:paraId="2F5E33C0" w14:textId="77777777" w:rsidR="003959B0" w:rsidRDefault="003959B0" w:rsidP="00F05558">
            <w:r>
              <w:t>0</w:t>
            </w:r>
          </w:p>
        </w:tc>
      </w:tr>
      <w:tr w:rsidR="003959B0" w14:paraId="7F1DFD99" w14:textId="77777777" w:rsidTr="00F05558">
        <w:tc>
          <w:tcPr>
            <w:tcW w:w="7345" w:type="dxa"/>
            <w:vAlign w:val="bottom"/>
          </w:tcPr>
          <w:p w14:paraId="7014A50D" w14:textId="77777777" w:rsidR="003959B0" w:rsidRPr="00416F7E" w:rsidRDefault="003959B0" w:rsidP="00F05558">
            <w:pPr>
              <w:rPr>
                <w:rFonts w:eastAsia="Times New Roman" w:cs="Arial"/>
                <w:szCs w:val="20"/>
              </w:rPr>
            </w:pPr>
            <w:r w:rsidRPr="00416F7E">
              <w:rPr>
                <w:rFonts w:eastAsia="Times New Roman" w:cs="Arial"/>
                <w:szCs w:val="20"/>
              </w:rPr>
              <w:t>M) test specimen(s) missing</w:t>
            </w:r>
          </w:p>
        </w:tc>
        <w:tc>
          <w:tcPr>
            <w:tcW w:w="1779" w:type="dxa"/>
          </w:tcPr>
          <w:p w14:paraId="630CDA42" w14:textId="77777777" w:rsidR="003959B0" w:rsidRDefault="003959B0" w:rsidP="00F05558">
            <w:r>
              <w:t>21</w:t>
            </w:r>
          </w:p>
        </w:tc>
      </w:tr>
      <w:tr w:rsidR="003959B0" w14:paraId="094097BC" w14:textId="77777777" w:rsidTr="00F05558">
        <w:tc>
          <w:tcPr>
            <w:tcW w:w="7345" w:type="dxa"/>
            <w:vAlign w:val="bottom"/>
          </w:tcPr>
          <w:p w14:paraId="3C96DECD" w14:textId="77777777" w:rsidR="003959B0" w:rsidRPr="00416F7E" w:rsidRDefault="003959B0" w:rsidP="00F05558">
            <w:pPr>
              <w:rPr>
                <w:rFonts w:eastAsia="Times New Roman" w:cs="Arial"/>
                <w:szCs w:val="20"/>
              </w:rPr>
            </w:pPr>
            <w:r w:rsidRPr="00416F7E">
              <w:rPr>
                <w:rFonts w:eastAsia="Times New Roman" w:cs="Arial"/>
                <w:szCs w:val="20"/>
              </w:rPr>
              <w:t>N) QA policy or procedure not followed</w:t>
            </w:r>
          </w:p>
        </w:tc>
        <w:tc>
          <w:tcPr>
            <w:tcW w:w="1779" w:type="dxa"/>
          </w:tcPr>
          <w:p w14:paraId="02EE4102" w14:textId="77777777" w:rsidR="003959B0" w:rsidRDefault="003959B0" w:rsidP="00F05558">
            <w:r>
              <w:t>0</w:t>
            </w:r>
          </w:p>
        </w:tc>
      </w:tr>
      <w:tr w:rsidR="003959B0" w14:paraId="13CC2B24" w14:textId="77777777" w:rsidTr="00F05558">
        <w:tc>
          <w:tcPr>
            <w:tcW w:w="7345" w:type="dxa"/>
            <w:vAlign w:val="bottom"/>
          </w:tcPr>
          <w:p w14:paraId="0E09CF02" w14:textId="77777777" w:rsidR="003959B0" w:rsidRPr="00416F7E" w:rsidRDefault="003959B0" w:rsidP="00F05558">
            <w:pPr>
              <w:rPr>
                <w:rFonts w:eastAsia="Times New Roman" w:cs="Arial"/>
                <w:szCs w:val="20"/>
              </w:rPr>
            </w:pPr>
            <w:r w:rsidRPr="00416F7E">
              <w:rPr>
                <w:rFonts w:eastAsia="Times New Roman" w:cs="Arial"/>
                <w:szCs w:val="20"/>
              </w:rPr>
              <w:t>O) Failing test result</w:t>
            </w:r>
          </w:p>
        </w:tc>
        <w:tc>
          <w:tcPr>
            <w:tcW w:w="1779" w:type="dxa"/>
          </w:tcPr>
          <w:p w14:paraId="295743AE" w14:textId="77777777" w:rsidR="003959B0" w:rsidRDefault="003959B0" w:rsidP="00F05558">
            <w:r>
              <w:t>8</w:t>
            </w:r>
          </w:p>
        </w:tc>
      </w:tr>
      <w:tr w:rsidR="003959B0" w14:paraId="786D8C6E" w14:textId="77777777" w:rsidTr="00F05558">
        <w:tc>
          <w:tcPr>
            <w:tcW w:w="7345" w:type="dxa"/>
            <w:vAlign w:val="bottom"/>
          </w:tcPr>
          <w:p w14:paraId="1A9FB366" w14:textId="77777777" w:rsidR="003959B0" w:rsidRPr="00416F7E" w:rsidRDefault="003959B0" w:rsidP="00F05558">
            <w:pPr>
              <w:rPr>
                <w:rFonts w:eastAsia="Times New Roman" w:cs="Arial"/>
                <w:szCs w:val="20"/>
              </w:rPr>
            </w:pPr>
            <w:r w:rsidRPr="00416F7E">
              <w:rPr>
                <w:rFonts w:eastAsia="Times New Roman" w:cs="Arial"/>
                <w:szCs w:val="20"/>
              </w:rPr>
              <w:t>P) Missing test document(s)</w:t>
            </w:r>
          </w:p>
        </w:tc>
        <w:tc>
          <w:tcPr>
            <w:tcW w:w="1779" w:type="dxa"/>
          </w:tcPr>
          <w:p w14:paraId="7BB20B6F" w14:textId="77777777" w:rsidR="003959B0" w:rsidRDefault="003959B0" w:rsidP="00F05558">
            <w:r>
              <w:t>9</w:t>
            </w:r>
          </w:p>
        </w:tc>
      </w:tr>
      <w:tr w:rsidR="003959B0" w14:paraId="2383BEFA" w14:textId="77777777" w:rsidTr="00F05558">
        <w:tc>
          <w:tcPr>
            <w:tcW w:w="7345" w:type="dxa"/>
            <w:vAlign w:val="bottom"/>
          </w:tcPr>
          <w:p w14:paraId="1DB15E29" w14:textId="77777777" w:rsidR="003959B0" w:rsidRPr="00416F7E" w:rsidRDefault="003959B0" w:rsidP="00F05558">
            <w:pPr>
              <w:rPr>
                <w:rFonts w:eastAsia="Times New Roman" w:cs="Arial"/>
                <w:szCs w:val="20"/>
              </w:rPr>
            </w:pPr>
            <w:r w:rsidRPr="00416F7E">
              <w:rPr>
                <w:rFonts w:eastAsia="Times New Roman" w:cs="Arial"/>
                <w:szCs w:val="20"/>
              </w:rPr>
              <w:t>Q) Wrong test requirement on TR or Lab Test Sheet</w:t>
            </w:r>
          </w:p>
        </w:tc>
        <w:tc>
          <w:tcPr>
            <w:tcW w:w="1779" w:type="dxa"/>
          </w:tcPr>
          <w:p w14:paraId="38760AA9" w14:textId="77777777" w:rsidR="003959B0" w:rsidRDefault="003959B0" w:rsidP="00F05558">
            <w:r>
              <w:t>34</w:t>
            </w:r>
          </w:p>
        </w:tc>
      </w:tr>
      <w:tr w:rsidR="003959B0" w14:paraId="546B2BC5" w14:textId="77777777" w:rsidTr="00F05558">
        <w:tc>
          <w:tcPr>
            <w:tcW w:w="7345" w:type="dxa"/>
            <w:vAlign w:val="bottom"/>
          </w:tcPr>
          <w:p w14:paraId="10423E89" w14:textId="77777777" w:rsidR="003959B0" w:rsidRPr="00416F7E" w:rsidRDefault="003959B0" w:rsidP="00F05558">
            <w:pPr>
              <w:rPr>
                <w:rFonts w:eastAsia="Times New Roman" w:cs="Arial"/>
                <w:szCs w:val="20"/>
              </w:rPr>
            </w:pPr>
            <w:r w:rsidRPr="00416F7E">
              <w:rPr>
                <w:rFonts w:eastAsia="Times New Roman" w:cs="Arial"/>
                <w:szCs w:val="20"/>
              </w:rPr>
              <w:t>R) Missing information on TR, Lab Test Sheet, or test document</w:t>
            </w:r>
          </w:p>
        </w:tc>
        <w:tc>
          <w:tcPr>
            <w:tcW w:w="1779" w:type="dxa"/>
          </w:tcPr>
          <w:p w14:paraId="5865CCB5" w14:textId="77777777" w:rsidR="003959B0" w:rsidRDefault="003959B0" w:rsidP="00F05558">
            <w:r>
              <w:t>22</w:t>
            </w:r>
          </w:p>
        </w:tc>
      </w:tr>
      <w:tr w:rsidR="003959B0" w14:paraId="61A82396" w14:textId="77777777" w:rsidTr="00F05558">
        <w:tc>
          <w:tcPr>
            <w:tcW w:w="7345" w:type="dxa"/>
            <w:vAlign w:val="bottom"/>
          </w:tcPr>
          <w:p w14:paraId="2E7B139D" w14:textId="77777777" w:rsidR="003959B0" w:rsidRPr="00416F7E" w:rsidRDefault="003959B0" w:rsidP="00F05558">
            <w:pPr>
              <w:rPr>
                <w:rFonts w:eastAsia="Times New Roman" w:cs="Arial"/>
                <w:szCs w:val="20"/>
              </w:rPr>
            </w:pPr>
            <w:r>
              <w:rPr>
                <w:rFonts w:eastAsia="Times New Roman" w:cs="Arial"/>
                <w:szCs w:val="20"/>
              </w:rPr>
              <w:t>S) Wrong test report offered</w:t>
            </w:r>
          </w:p>
        </w:tc>
        <w:tc>
          <w:tcPr>
            <w:tcW w:w="1779" w:type="dxa"/>
          </w:tcPr>
          <w:p w14:paraId="42AC28DB" w14:textId="77777777" w:rsidR="003959B0" w:rsidRDefault="003959B0" w:rsidP="00F05558">
            <w:r>
              <w:t>3</w:t>
            </w:r>
          </w:p>
        </w:tc>
      </w:tr>
    </w:tbl>
    <w:p w14:paraId="0A6A1D05" w14:textId="77777777" w:rsidR="003959B0" w:rsidRDefault="003959B0" w:rsidP="00FB23C6">
      <w:pPr>
        <w:pStyle w:val="Body"/>
        <w:spacing w:after="0"/>
      </w:pPr>
    </w:p>
    <w:p w14:paraId="23E7EF08" w14:textId="1115D4B9" w:rsidR="003959B0" w:rsidRDefault="003959B0" w:rsidP="003959B0">
      <w:pPr>
        <w:pStyle w:val="Body"/>
      </w:pPr>
      <w:r>
        <w:t>Suppliers should continue</w:t>
      </w:r>
      <w:r w:rsidRPr="00E31569">
        <w:t xml:space="preserve"> tracking this information internally and working to reduce these issues. While some of these do not have product impact at the time, there is still the potential from some of them. </w:t>
      </w:r>
      <w:r>
        <w:t xml:space="preserve">The consensus </w:t>
      </w:r>
      <w:r w:rsidR="00447A27">
        <w:t>was</w:t>
      </w:r>
      <w:r>
        <w:t xml:space="preserve"> that the categories showing high error numbers should be broken down further</w:t>
      </w:r>
      <w:r w:rsidR="006427E5">
        <w:t>;</w:t>
      </w:r>
      <w:r w:rsidR="0037468E">
        <w:t xml:space="preserve"> this will be evaluated.</w:t>
      </w:r>
      <w:r>
        <w:t xml:space="preserve">. Another suggestion was that the numbers be </w:t>
      </w:r>
      <w:r w:rsidR="00862658">
        <w:t>reported quarterly so impr</w:t>
      </w:r>
      <w:r w:rsidR="00D33894">
        <w:t>ovement could be more easily assesse</w:t>
      </w:r>
      <w:r w:rsidR="00447A27">
        <w:t>d</w:t>
      </w:r>
      <w:r w:rsidR="00862658">
        <w:t xml:space="preserve">. </w:t>
      </w:r>
      <w:r w:rsidR="00D33894">
        <w:t>I</w:t>
      </w:r>
      <w:r w:rsidR="00862658">
        <w:t xml:space="preserve">nformation </w:t>
      </w:r>
      <w:r w:rsidR="00D33894">
        <w:t xml:space="preserve">should be updated </w:t>
      </w:r>
      <w:r>
        <w:t xml:space="preserve">at least </w:t>
      </w:r>
      <w:r w:rsidR="00862658">
        <w:t>one</w:t>
      </w:r>
      <w:r w:rsidR="000A56D9">
        <w:t xml:space="preserve"> </w:t>
      </w:r>
      <w:r w:rsidRPr="00DA164C">
        <w:t>mont</w:t>
      </w:r>
      <w:r>
        <w:t xml:space="preserve">h prior to each Nadcap meeting. </w:t>
      </w:r>
      <w:r w:rsidR="00D33894">
        <w:t>Suppliers also requested a copy of their discrepancies be forwarded to their SLT TG Attendee.</w:t>
      </w:r>
    </w:p>
    <w:p w14:paraId="13C9D1D0" w14:textId="7B2C7D62" w:rsidR="003959B0" w:rsidRDefault="003959B0" w:rsidP="003959B0">
      <w:pPr>
        <w:pStyle w:val="Body"/>
      </w:pPr>
      <w:r w:rsidRPr="003959B0">
        <w:t xml:space="preserve">A Sub-Team </w:t>
      </w:r>
      <w:r>
        <w:t>of S. DeMoss, A. Fletcher, D. Jordan, and K. DeFranco</w:t>
      </w:r>
      <w:r w:rsidR="00381896">
        <w:t xml:space="preserve"> was</w:t>
      </w:r>
      <w:r>
        <w:t xml:space="preserve"> </w:t>
      </w:r>
      <w:r w:rsidRPr="003959B0">
        <w:t>established to consider the possibility of supplier merit</w:t>
      </w:r>
      <w:r w:rsidR="00381896">
        <w:t xml:space="preserve"> for surveillance</w:t>
      </w:r>
      <w:r w:rsidRPr="003959B0">
        <w:t>.</w:t>
      </w:r>
    </w:p>
    <w:p w14:paraId="361A4D5F" w14:textId="67BECFDB" w:rsidR="0075218E" w:rsidRDefault="0075218E" w:rsidP="0075218E">
      <w:pPr>
        <w:pStyle w:val="ActionItem"/>
      </w:pPr>
      <w:r>
        <w:t xml:space="preserve">ACTION ITEM: K. Purnell </w:t>
      </w:r>
      <w:r w:rsidR="00381896">
        <w:t xml:space="preserve">to </w:t>
      </w:r>
      <w:r>
        <w:t>update the SLT Surveillance issues report with the latest available information prior to each Nadcap Meeting</w:t>
      </w:r>
      <w:r w:rsidR="00862658">
        <w:t xml:space="preserve"> and provide quarterly breakdown of information</w:t>
      </w:r>
      <w:r>
        <w:t>. (Due Date: 1-Jun</w:t>
      </w:r>
      <w:r w:rsidRPr="0019525E">
        <w:t>-201</w:t>
      </w:r>
      <w:r>
        <w:t>7</w:t>
      </w:r>
      <w:r w:rsidRPr="0019525E">
        <w:t>)</w:t>
      </w:r>
    </w:p>
    <w:p w14:paraId="5770EBCD" w14:textId="36A313EE" w:rsidR="00D33894" w:rsidRPr="00D33894" w:rsidRDefault="00D33894">
      <w:pPr>
        <w:pStyle w:val="ActionItem"/>
      </w:pPr>
      <w:r>
        <w:t>ACTION ITEM: K. Purnell to provide a onetime summary of SLT Surveillance discrepancies specific to each supplier to their Task Group representative. (Due Date: 30-Apr</w:t>
      </w:r>
      <w:r w:rsidRPr="0019525E">
        <w:t>-201</w:t>
      </w:r>
      <w:r>
        <w:t>7</w:t>
      </w:r>
      <w:r w:rsidRPr="0019525E">
        <w:t>)</w:t>
      </w:r>
    </w:p>
    <w:p w14:paraId="578E7D05" w14:textId="77777777" w:rsidR="00D22DCE" w:rsidRDefault="00D22DCE" w:rsidP="00D22DCE">
      <w:pPr>
        <w:pStyle w:val="Heading1"/>
      </w:pPr>
      <w:r>
        <w:t>op 1117 auditor consistency – open</w:t>
      </w:r>
    </w:p>
    <w:p w14:paraId="56187238" w14:textId="1CB7D071" w:rsidR="006265F6" w:rsidRPr="006265F6" w:rsidRDefault="006265F6" w:rsidP="006265F6">
      <w:pPr>
        <w:pStyle w:val="Body"/>
        <w:rPr>
          <w:rFonts w:eastAsiaTheme="majorEastAsia" w:cstheme="majorBidi"/>
          <w:b/>
          <w:bCs/>
          <w:caps/>
          <w:szCs w:val="28"/>
        </w:rPr>
      </w:pPr>
      <w:r w:rsidRPr="006265F6">
        <w:t>The SLT TG reviewed its Auditor Consistency progress and Auditor Consistency Tracking Spreadsheet. All actio</w:t>
      </w:r>
      <w:r w:rsidR="00FB23C6">
        <w:t>ns were up to date.</w:t>
      </w:r>
    </w:p>
    <w:p w14:paraId="7F31C356" w14:textId="77777777" w:rsidR="0075218E" w:rsidRPr="00945E71" w:rsidRDefault="0075218E" w:rsidP="0075218E">
      <w:pPr>
        <w:pStyle w:val="Heading1"/>
        <w:rPr>
          <w:rFonts w:eastAsiaTheme="minorHAnsi" w:cstheme="minorBidi"/>
          <w:szCs w:val="22"/>
        </w:rPr>
      </w:pPr>
      <w:r>
        <w:t>Audit Failure Criteria – open</w:t>
      </w:r>
    </w:p>
    <w:p w14:paraId="267EDF6C" w14:textId="01D13036" w:rsidR="00862658" w:rsidRPr="00A43B1F" w:rsidRDefault="00862658" w:rsidP="00862658">
      <w:pPr>
        <w:pStyle w:val="Body"/>
      </w:pPr>
      <w:r w:rsidRPr="00A43B1F">
        <w:t>Audit failure criteria from 1 year,</w:t>
      </w:r>
      <w:r>
        <w:t xml:space="preserve"> 2016</w:t>
      </w:r>
      <w:r w:rsidRPr="00A43B1F">
        <w:t>, 2 years,</w:t>
      </w:r>
      <w:r>
        <w:t xml:space="preserve"> 2015 and 2016</w:t>
      </w:r>
      <w:r w:rsidRPr="00A43B1F">
        <w:t xml:space="preserve"> combined, 3 years,</w:t>
      </w:r>
      <w:r>
        <w:t xml:space="preserve"> 2014, 2015, and 2016</w:t>
      </w:r>
      <w:r w:rsidRPr="00A43B1F">
        <w:t xml:space="preserve"> combined</w:t>
      </w:r>
      <w:r>
        <w:t xml:space="preserve">, </w:t>
      </w:r>
      <w:r w:rsidR="004544BE">
        <w:t xml:space="preserve">and </w:t>
      </w:r>
      <w:r w:rsidRPr="00A43B1F">
        <w:t>4 years,</w:t>
      </w:r>
      <w:r>
        <w:t xml:space="preserve"> 2013 to 2016</w:t>
      </w:r>
      <w:r w:rsidR="004544BE">
        <w:t>,</w:t>
      </w:r>
      <w:r>
        <w:t xml:space="preserve"> </w:t>
      </w:r>
      <w:r w:rsidRPr="00A43B1F">
        <w:t>were reviewed. The reason for reviewing multiple years of data is the limited number</w:t>
      </w:r>
      <w:r>
        <w:t xml:space="preserve"> of audits performed by the SLT</w:t>
      </w:r>
      <w:r w:rsidRPr="00A43B1F">
        <w:t xml:space="preserve"> </w:t>
      </w:r>
      <w:r>
        <w:t>TG</w:t>
      </w:r>
      <w:r w:rsidRPr="00A43B1F">
        <w:t xml:space="preserve">. </w:t>
      </w:r>
      <w:r>
        <w:t>OP 1110</w:t>
      </w:r>
      <w:r w:rsidRPr="00A43B1F">
        <w:t xml:space="preserve"> paragraph </w:t>
      </w:r>
      <w:r>
        <w:t>4.1.2.1.5</w:t>
      </w:r>
      <w:r w:rsidRPr="00A43B1F">
        <w:t xml:space="preserve"> states “New Task Groups are requested to define their failure criteria (Mode B) once a statistically valid number of audits (e.g. 32 audits) have been conducted or at the second anniversary of their check</w:t>
      </w:r>
      <w:r>
        <w:t>list publication”. It required 3 years of SLT</w:t>
      </w:r>
      <w:r w:rsidRPr="00A43B1F">
        <w:t xml:space="preserve"> </w:t>
      </w:r>
      <w:r w:rsidR="00FB23C6">
        <w:t>audit data to exceed 32 audits.</w:t>
      </w:r>
    </w:p>
    <w:p w14:paraId="247C8CA8" w14:textId="284C3B50" w:rsidR="00862658" w:rsidRDefault="00862658">
      <w:pPr>
        <w:pStyle w:val="Body"/>
      </w:pPr>
      <w:r>
        <w:t>SLT</w:t>
      </w:r>
      <w:r w:rsidRPr="00CA7C70">
        <w:t xml:space="preserve"> TG reviewed the above </w:t>
      </w:r>
      <w:r>
        <w:t xml:space="preserve">failure </w:t>
      </w:r>
      <w:r w:rsidRPr="00CA7C70">
        <w:t>data</w:t>
      </w:r>
      <w:r>
        <w:t>. Since both checklists have just been revised</w:t>
      </w:r>
      <w:r w:rsidRPr="00CA7C70">
        <w:t xml:space="preserve"> it was decided to keep the existing </w:t>
      </w:r>
      <w:r>
        <w:t xml:space="preserve">audit failure </w:t>
      </w:r>
      <w:r w:rsidR="00FB23C6">
        <w:t>criteria.</w:t>
      </w:r>
    </w:p>
    <w:p w14:paraId="331FC96E" w14:textId="0078DEE3" w:rsidR="0075218E" w:rsidRDefault="0075218E" w:rsidP="0075218E">
      <w:pPr>
        <w:pStyle w:val="Body"/>
      </w:pPr>
      <w:r>
        <w:t>Motion</w:t>
      </w:r>
      <w:r w:rsidRPr="000E0CB9">
        <w:t xml:space="preserve"> </w:t>
      </w:r>
      <w:r>
        <w:t xml:space="preserve">made </w:t>
      </w:r>
      <w:r w:rsidRPr="000E0CB9">
        <w:t xml:space="preserve">by </w:t>
      </w:r>
      <w:r>
        <w:t xml:space="preserve">A. </w:t>
      </w:r>
      <w:r w:rsidRPr="000E0CB9">
        <w:t>Fletcher</w:t>
      </w:r>
      <w:r>
        <w:t xml:space="preserve"> and seconded by M. K</w:t>
      </w:r>
      <w:r w:rsidRPr="000E0CB9">
        <w:t>oucouthakis</w:t>
      </w:r>
      <w:r>
        <w:t xml:space="preserve"> to maintain the current Failure Criteria for 2017. </w:t>
      </w:r>
      <w:r w:rsidRPr="00A1616A">
        <w:t>Motion Passed.</w:t>
      </w:r>
    </w:p>
    <w:p w14:paraId="0973F5C6" w14:textId="77777777" w:rsidR="0075218E" w:rsidRDefault="0075218E" w:rsidP="0075218E">
      <w:pPr>
        <w:pStyle w:val="ActionItem"/>
      </w:pPr>
      <w:r>
        <w:t>ACTION ITEM: K. Purnell to forward SLT TG 2017 failure criteria to M. Graham. (Due Date: 8-Mar</w:t>
      </w:r>
      <w:r w:rsidRPr="0019525E">
        <w:t>-201</w:t>
      </w:r>
      <w:r>
        <w:t>7</w:t>
      </w:r>
      <w:r w:rsidRPr="0019525E">
        <w:t>)</w:t>
      </w:r>
    </w:p>
    <w:p w14:paraId="635985E1" w14:textId="6905ED47" w:rsidR="00FD7AA0" w:rsidRDefault="00D22DCE" w:rsidP="00FD7AA0">
      <w:pPr>
        <w:pStyle w:val="Heading1"/>
      </w:pPr>
      <w:r>
        <w:t xml:space="preserve">ac7202 and ac 7200/1 </w:t>
      </w:r>
      <w:r w:rsidR="00FD7AA0">
        <w:t>– open</w:t>
      </w:r>
    </w:p>
    <w:p w14:paraId="251C912D" w14:textId="164CB451" w:rsidR="004B0208" w:rsidRDefault="004B0208" w:rsidP="004B0208">
      <w:pPr>
        <w:pStyle w:val="Body"/>
      </w:pPr>
      <w:r w:rsidRPr="004B0208">
        <w:t xml:space="preserve">Ballot </w:t>
      </w:r>
      <w:r w:rsidR="002C7DB3">
        <w:t>c</w:t>
      </w:r>
      <w:r w:rsidRPr="004B0208">
        <w:t xml:space="preserve">omments for </w:t>
      </w:r>
      <w:r w:rsidR="002C7DB3">
        <w:t>AC7202 and AC7200/1</w:t>
      </w:r>
      <w:r w:rsidRPr="004B0208">
        <w:t xml:space="preserve"> Rev D were </w:t>
      </w:r>
      <w:r w:rsidR="002C7DB3">
        <w:t>reviewed and resolved or withdrawn with the intent to be incorporated in the next revision</w:t>
      </w:r>
      <w:r w:rsidRPr="004B0208">
        <w:t xml:space="preserve">. </w:t>
      </w:r>
      <w:r w:rsidR="002C7DB3">
        <w:t>A</w:t>
      </w:r>
      <w:r w:rsidRPr="004B0208">
        <w:t xml:space="preserve"> format was </w:t>
      </w:r>
      <w:r w:rsidR="002C7DB3">
        <w:t>presented</w:t>
      </w:r>
      <w:r w:rsidRPr="004B0208">
        <w:t xml:space="preserve"> and adopted by the </w:t>
      </w:r>
      <w:r w:rsidR="002C7DB3">
        <w:t>SLT</w:t>
      </w:r>
      <w:r w:rsidRPr="004B0208">
        <w:t xml:space="preserve"> TG, to display a running list of actions to be </w:t>
      </w:r>
      <w:r w:rsidR="00C74DD7">
        <w:t xml:space="preserve">incorporated in the next revision of the document and placed in the SLT Task Group </w:t>
      </w:r>
      <w:r w:rsidR="00657624">
        <w:t>Work Area - Forum</w:t>
      </w:r>
      <w:r w:rsidR="00C74DD7">
        <w:t xml:space="preserve"> for </w:t>
      </w:r>
      <w:r w:rsidR="004544BE">
        <w:t>T</w:t>
      </w:r>
      <w:r w:rsidR="00C74DD7">
        <w:t xml:space="preserve">ask </w:t>
      </w:r>
      <w:r w:rsidR="004544BE">
        <w:t>G</w:t>
      </w:r>
      <w:r w:rsidR="00C74DD7">
        <w:t>roup</w:t>
      </w:r>
      <w:r w:rsidR="00657624">
        <w:t xml:space="preserve"> visibility on eAuditNet.</w:t>
      </w:r>
    </w:p>
    <w:p w14:paraId="62EB4628" w14:textId="17AE350F" w:rsidR="00657624" w:rsidRPr="004B0208" w:rsidRDefault="00657624" w:rsidP="00657624">
      <w:pPr>
        <w:pStyle w:val="ActionItem"/>
        <w:rPr>
          <w:rFonts w:eastAsiaTheme="majorEastAsia" w:cstheme="majorBidi"/>
          <w:bCs/>
          <w:caps/>
          <w:szCs w:val="28"/>
        </w:rPr>
      </w:pPr>
      <w:r>
        <w:t xml:space="preserve">ACTION ITEM: </w:t>
      </w:r>
      <w:r w:rsidR="008C5479">
        <w:t>PRI Staff</w:t>
      </w:r>
      <w:r>
        <w:t xml:space="preserve"> to send SLT TG Members training on how to find and use </w:t>
      </w:r>
      <w:r w:rsidR="004544BE">
        <w:t xml:space="preserve">the </w:t>
      </w:r>
      <w:r>
        <w:t>Task Group Forum. (Due Date: 30-May-2017)</w:t>
      </w:r>
    </w:p>
    <w:p w14:paraId="3401A810" w14:textId="1817BD40" w:rsidR="00D22DCE" w:rsidRDefault="00D22DCE" w:rsidP="004B0208">
      <w:pPr>
        <w:pStyle w:val="Heading1"/>
      </w:pPr>
      <w:r>
        <w:t>s</w:t>
      </w:r>
      <w:r w:rsidR="00296D92">
        <w:t>ea</w:t>
      </w:r>
      <w:r w:rsidR="00FB23C6">
        <w:t>l</w:t>
      </w:r>
      <w:r w:rsidR="00296D92">
        <w:t>an</w:t>
      </w:r>
      <w:r w:rsidR="00FB23C6">
        <w:t>t audit handbook review – open</w:t>
      </w:r>
    </w:p>
    <w:p w14:paraId="1A13BB32" w14:textId="11364BAE" w:rsidR="00D22DCE" w:rsidRDefault="00C5364E" w:rsidP="00C5364E">
      <w:pPr>
        <w:pStyle w:val="Body"/>
      </w:pPr>
      <w:r>
        <w:t>This item was not discussed.</w:t>
      </w:r>
    </w:p>
    <w:p w14:paraId="5149993F" w14:textId="5D8FFCD1" w:rsidR="00FD7AA0" w:rsidRDefault="00FB23C6" w:rsidP="00D22DCE">
      <w:pPr>
        <w:pStyle w:val="Heading1"/>
      </w:pPr>
      <w:r>
        <w:t>Audit effectiveness – open</w:t>
      </w:r>
    </w:p>
    <w:p w14:paraId="52242420" w14:textId="500F879B" w:rsidR="00862658" w:rsidRDefault="00862658">
      <w:pPr>
        <w:pStyle w:val="Body"/>
      </w:pPr>
      <w:r>
        <w:t>The SEAL TG Audit Effectiveness spreadsheet was reviewed. No further</w:t>
      </w:r>
      <w:r w:rsidR="00FB23C6">
        <w:t xml:space="preserve"> action is needed at this time.</w:t>
      </w:r>
    </w:p>
    <w:p w14:paraId="7B592235" w14:textId="609128FD" w:rsidR="00FD7AA0" w:rsidRDefault="00FB23C6" w:rsidP="00FD7AA0">
      <w:pPr>
        <w:pStyle w:val="Heading1"/>
      </w:pPr>
      <w:r>
        <w:t>2017 Auditor Conference – open</w:t>
      </w:r>
    </w:p>
    <w:p w14:paraId="6916104A" w14:textId="49BD6A4C" w:rsidR="00A503FF" w:rsidRDefault="00A503FF" w:rsidP="00A503FF">
      <w:pPr>
        <w:ind w:left="720"/>
      </w:pPr>
      <w:r>
        <w:t xml:space="preserve">The proposed topics for the 2017 auditor conference were reviewed </w:t>
      </w:r>
      <w:r w:rsidR="004544BE">
        <w:t>as</w:t>
      </w:r>
      <w:r>
        <w:t xml:space="preserve"> listed below:</w:t>
      </w:r>
    </w:p>
    <w:p w14:paraId="0E7BC811" w14:textId="77777777" w:rsidR="00A503FF" w:rsidRPr="00D24E3D" w:rsidRDefault="00A503FF" w:rsidP="00A503FF">
      <w:pPr>
        <w:pStyle w:val="ListParagraph"/>
        <w:numPr>
          <w:ilvl w:val="0"/>
          <w:numId w:val="7"/>
        </w:numPr>
        <w:ind w:left="1080"/>
      </w:pPr>
      <w:r w:rsidRPr="00D24E3D">
        <w:t>Most Common NCRs and NCR Data Analysis for Auditor Consistency</w:t>
      </w:r>
    </w:p>
    <w:p w14:paraId="3DB6FE35" w14:textId="05A13455" w:rsidR="00A503FF" w:rsidRDefault="00A503FF" w:rsidP="00A503FF">
      <w:pPr>
        <w:pStyle w:val="ListParagraph"/>
        <w:numPr>
          <w:ilvl w:val="0"/>
          <w:numId w:val="7"/>
        </w:numPr>
        <w:ind w:left="1080"/>
      </w:pPr>
      <w:r>
        <w:t>Checklists AC7200/1,</w:t>
      </w:r>
      <w:r w:rsidRPr="00D24E3D">
        <w:t xml:space="preserve"> AC7202</w:t>
      </w:r>
      <w:r w:rsidR="004544BE">
        <w:t>,</w:t>
      </w:r>
      <w:r>
        <w:t xml:space="preserve"> &amp; AC7129</w:t>
      </w:r>
    </w:p>
    <w:p w14:paraId="3042FC6A" w14:textId="77777777" w:rsidR="00A503FF" w:rsidRDefault="00A503FF" w:rsidP="00A503FF">
      <w:pPr>
        <w:pStyle w:val="ListParagraph"/>
        <w:numPr>
          <w:ilvl w:val="0"/>
          <w:numId w:val="7"/>
        </w:numPr>
        <w:ind w:left="1080"/>
      </w:pPr>
      <w:r>
        <w:t>Review of revised checklists</w:t>
      </w:r>
    </w:p>
    <w:p w14:paraId="14DA3B16" w14:textId="77777777" w:rsidR="00A503FF" w:rsidRDefault="00A503FF" w:rsidP="00A503FF">
      <w:pPr>
        <w:pStyle w:val="ListParagraph"/>
        <w:numPr>
          <w:ilvl w:val="0"/>
          <w:numId w:val="7"/>
        </w:numPr>
        <w:ind w:left="1080"/>
      </w:pPr>
      <w:r>
        <w:t>Review of Revised SLT Audit Handbook</w:t>
      </w:r>
    </w:p>
    <w:p w14:paraId="131986E6" w14:textId="77777777" w:rsidR="00A503FF" w:rsidRDefault="00A503FF" w:rsidP="00A503FF">
      <w:pPr>
        <w:pStyle w:val="ListParagraph"/>
        <w:numPr>
          <w:ilvl w:val="0"/>
          <w:numId w:val="7"/>
        </w:numPr>
        <w:ind w:left="1080"/>
      </w:pPr>
      <w:r>
        <w:t>Selection of Job Audits – Job Tracker</w:t>
      </w:r>
    </w:p>
    <w:p w14:paraId="5558D91B" w14:textId="77777777" w:rsidR="00A503FF" w:rsidRDefault="00A503FF" w:rsidP="00A503FF">
      <w:pPr>
        <w:pStyle w:val="ListParagraph"/>
        <w:numPr>
          <w:ilvl w:val="0"/>
          <w:numId w:val="7"/>
        </w:numPr>
        <w:ind w:left="1080"/>
      </w:pPr>
      <w:r>
        <w:t>Paper/Demo/Virtual/Coupon Job Audit</w:t>
      </w:r>
    </w:p>
    <w:p w14:paraId="4C8DB973" w14:textId="77777777" w:rsidR="00A503FF" w:rsidRDefault="00A503FF" w:rsidP="00A503FF">
      <w:pPr>
        <w:pStyle w:val="ListParagraph"/>
        <w:numPr>
          <w:ilvl w:val="0"/>
          <w:numId w:val="7"/>
        </w:numPr>
        <w:ind w:left="1080"/>
      </w:pPr>
      <w:r>
        <w:t>Level of Specification Review</w:t>
      </w:r>
    </w:p>
    <w:p w14:paraId="7410460B" w14:textId="77777777" w:rsidR="00A503FF" w:rsidRDefault="00A503FF" w:rsidP="00A503FF">
      <w:pPr>
        <w:pStyle w:val="ListParagraph"/>
        <w:numPr>
          <w:ilvl w:val="0"/>
          <w:numId w:val="7"/>
        </w:numPr>
        <w:ind w:left="1080"/>
      </w:pPr>
      <w:r>
        <w:t>Verification of Customer Flow down Requirements</w:t>
      </w:r>
    </w:p>
    <w:p w14:paraId="2F5C08F6" w14:textId="77777777" w:rsidR="00A503FF" w:rsidRPr="00D24E3D" w:rsidRDefault="00A503FF" w:rsidP="00A503FF">
      <w:pPr>
        <w:pStyle w:val="ListParagraph"/>
        <w:numPr>
          <w:ilvl w:val="0"/>
          <w:numId w:val="7"/>
        </w:numPr>
        <w:ind w:left="1080"/>
      </w:pPr>
      <w:r w:rsidRPr="00D24E3D">
        <w:t>Sealant Surveillance</w:t>
      </w:r>
    </w:p>
    <w:p w14:paraId="78D08DAB" w14:textId="09386081" w:rsidR="00A503FF" w:rsidRDefault="00A503FF" w:rsidP="00A503FF">
      <w:pPr>
        <w:pStyle w:val="ListParagraph"/>
        <w:numPr>
          <w:ilvl w:val="0"/>
          <w:numId w:val="7"/>
        </w:numPr>
        <w:ind w:left="1080"/>
      </w:pPr>
      <w:r w:rsidRPr="00D24E3D">
        <w:t>PRI Sealant QPG &amp; G9 Update</w:t>
      </w:r>
    </w:p>
    <w:p w14:paraId="52DAF96C" w14:textId="024BCBBE" w:rsidR="007672A6" w:rsidRPr="007C70BA" w:rsidRDefault="007672A6" w:rsidP="00A503FF">
      <w:pPr>
        <w:pStyle w:val="ListParagraph"/>
        <w:numPr>
          <w:ilvl w:val="0"/>
          <w:numId w:val="7"/>
        </w:numPr>
        <w:ind w:left="1080"/>
      </w:pPr>
      <w:r w:rsidRPr="007C70BA">
        <w:t xml:space="preserve">Auditor </w:t>
      </w:r>
      <w:r w:rsidR="00A37341" w:rsidRPr="007C70BA">
        <w:t>Conduct</w:t>
      </w:r>
    </w:p>
    <w:p w14:paraId="73D7E42F" w14:textId="77777777" w:rsidR="00A503FF" w:rsidRPr="007C70BA" w:rsidRDefault="00A503FF" w:rsidP="00A503FF">
      <w:pPr>
        <w:pStyle w:val="ListParagraph"/>
        <w:numPr>
          <w:ilvl w:val="0"/>
          <w:numId w:val="7"/>
        </w:numPr>
        <w:ind w:left="1080"/>
        <w:rPr>
          <w:b/>
          <w:bCs/>
          <w:caps/>
        </w:rPr>
      </w:pPr>
      <w:r w:rsidRPr="007C70BA">
        <w:t>Question and Answer Session</w:t>
      </w:r>
    </w:p>
    <w:p w14:paraId="06FAA290" w14:textId="131958D2" w:rsidR="007C70BA" w:rsidRPr="007C70BA" w:rsidRDefault="00A503FF" w:rsidP="00A37341">
      <w:pPr>
        <w:pStyle w:val="Body"/>
      </w:pPr>
      <w:r w:rsidRPr="007C70BA">
        <w:t xml:space="preserve">The following </w:t>
      </w:r>
      <w:r w:rsidR="007C70BA" w:rsidRPr="007C70BA">
        <w:t xml:space="preserve">topics were also </w:t>
      </w:r>
      <w:r w:rsidRPr="007C70BA">
        <w:t>suggest</w:t>
      </w:r>
      <w:r w:rsidR="007C70BA" w:rsidRPr="007C70BA">
        <w:t>ed</w:t>
      </w:r>
      <w:r w:rsidR="0037468E">
        <w:t xml:space="preserve"> and will be added</w:t>
      </w:r>
      <w:r w:rsidR="007C70BA" w:rsidRPr="007C70BA">
        <w:t>:</w:t>
      </w:r>
    </w:p>
    <w:p w14:paraId="16B1B25D" w14:textId="379C74A2" w:rsidR="007C70BA" w:rsidRPr="007C70BA" w:rsidRDefault="00A503FF" w:rsidP="009D07EC">
      <w:pPr>
        <w:pStyle w:val="ListParagraph"/>
        <w:numPr>
          <w:ilvl w:val="0"/>
          <w:numId w:val="10"/>
        </w:numPr>
      </w:pPr>
      <w:r w:rsidRPr="007C70BA">
        <w:t>Self-Audit</w:t>
      </w:r>
      <w:r w:rsidR="007C70BA" w:rsidRPr="007C70BA">
        <w:t>,</w:t>
      </w:r>
      <w:r w:rsidRPr="007C70BA">
        <w:t xml:space="preserve"> includ</w:t>
      </w:r>
      <w:r w:rsidR="007C70BA" w:rsidRPr="007C70BA">
        <w:t>ing</w:t>
      </w:r>
      <w:r w:rsidRPr="007C70BA">
        <w:t xml:space="preserve"> </w:t>
      </w:r>
      <w:r w:rsidR="007C70BA" w:rsidRPr="007C70BA">
        <w:t>Auditee</w:t>
      </w:r>
      <w:r w:rsidRPr="007C70BA">
        <w:t xml:space="preserve"> requirements</w:t>
      </w:r>
    </w:p>
    <w:p w14:paraId="3C59E413" w14:textId="327A44FD" w:rsidR="00A503FF" w:rsidRPr="007C70BA" w:rsidRDefault="007C70BA" w:rsidP="009D07EC">
      <w:pPr>
        <w:pStyle w:val="ListParagraph"/>
        <w:numPr>
          <w:ilvl w:val="0"/>
          <w:numId w:val="10"/>
        </w:numPr>
        <w:rPr>
          <w:b/>
          <w:bCs/>
          <w:caps/>
        </w:rPr>
      </w:pPr>
      <w:r w:rsidRPr="007C70BA">
        <w:t>C</w:t>
      </w:r>
      <w:r w:rsidR="00A503FF" w:rsidRPr="007C70BA">
        <w:t>alibration/verification requirements to AC7200/1 Paragraph 12.4</w:t>
      </w:r>
    </w:p>
    <w:p w14:paraId="5F8F7043" w14:textId="17B57EF2" w:rsidR="00A503FF" w:rsidRDefault="00A503FF" w:rsidP="00A503FF">
      <w:pPr>
        <w:pStyle w:val="Heading1"/>
        <w:numPr>
          <w:ilvl w:val="0"/>
          <w:numId w:val="0"/>
        </w:numPr>
        <w:ind w:left="720"/>
        <w:rPr>
          <w:rFonts w:eastAsiaTheme="minorHAnsi" w:cstheme="minorBidi"/>
          <w:b w:val="0"/>
          <w:bCs w:val="0"/>
          <w:caps w:val="0"/>
          <w:szCs w:val="22"/>
        </w:rPr>
      </w:pPr>
      <w:r>
        <w:rPr>
          <w:rFonts w:eastAsiaTheme="minorHAnsi" w:cstheme="minorBidi"/>
          <w:b w:val="0"/>
          <w:bCs w:val="0"/>
          <w:caps w:val="0"/>
          <w:szCs w:val="22"/>
        </w:rPr>
        <w:t>The SLT TG also requested feedback from auditors</w:t>
      </w:r>
      <w:r w:rsidRPr="00543EAA">
        <w:rPr>
          <w:rFonts w:eastAsiaTheme="minorHAnsi" w:cstheme="minorBidi"/>
          <w:b w:val="0"/>
          <w:bCs w:val="0"/>
          <w:caps w:val="0"/>
          <w:szCs w:val="22"/>
        </w:rPr>
        <w:t xml:space="preserve"> on how they u</w:t>
      </w:r>
      <w:r>
        <w:rPr>
          <w:rFonts w:eastAsiaTheme="minorHAnsi" w:cstheme="minorBidi"/>
          <w:b w:val="0"/>
          <w:bCs w:val="0"/>
          <w:caps w:val="0"/>
          <w:szCs w:val="22"/>
        </w:rPr>
        <w:t>se the pre-audit information.</w:t>
      </w:r>
    </w:p>
    <w:p w14:paraId="1CD29F7F" w14:textId="28D3C602" w:rsidR="00A503FF" w:rsidRDefault="00A503FF" w:rsidP="00A503FF">
      <w:pPr>
        <w:pStyle w:val="ActionItem"/>
      </w:pPr>
      <w:r>
        <w:t>ACTION ITEM: K. Purnell to obtain feedback from auditors on how they use the pre-audit information. (Due Date: 1-Jun</w:t>
      </w:r>
      <w:r w:rsidRPr="0019525E">
        <w:t>-201</w:t>
      </w:r>
      <w:r>
        <w:t>7</w:t>
      </w:r>
      <w:r w:rsidRPr="0019525E">
        <w:t>)</w:t>
      </w:r>
    </w:p>
    <w:p w14:paraId="0DDC773E" w14:textId="21607EC9" w:rsidR="00D22DCE" w:rsidRDefault="00D22DCE" w:rsidP="00C5364E">
      <w:pPr>
        <w:pStyle w:val="Heading1"/>
      </w:pPr>
      <w:r>
        <w:t>SUPPLIER INPUT on auditor selection – open</w:t>
      </w:r>
    </w:p>
    <w:p w14:paraId="426620C6" w14:textId="0D8E6EE3" w:rsidR="00A503FF" w:rsidRPr="00D22DCE" w:rsidRDefault="007F3354" w:rsidP="00A503FF">
      <w:pPr>
        <w:pStyle w:val="Body"/>
      </w:pPr>
      <w:r>
        <w:t xml:space="preserve">The SLT TG </w:t>
      </w:r>
      <w:r w:rsidR="007C70BA">
        <w:t>d</w:t>
      </w:r>
      <w:r>
        <w:t xml:space="preserve">iscussed the potential for Supplier input in the Auditor Selection Process (e.g. participating in interviews). It was agreed that </w:t>
      </w:r>
      <w:r w:rsidRPr="00073C34">
        <w:t>Suppliers</w:t>
      </w:r>
      <w:r>
        <w:t xml:space="preserve"> would like to be involved, but </w:t>
      </w:r>
      <w:r w:rsidR="007C70BA">
        <w:t>the decision on the extent has not been determined</w:t>
      </w:r>
      <w:r>
        <w:t>.</w:t>
      </w:r>
      <w:r w:rsidR="00A503FF" w:rsidRPr="00A503FF">
        <w:t xml:space="preserve"> </w:t>
      </w:r>
      <w:r w:rsidR="00A503FF">
        <w:t>OP</w:t>
      </w:r>
      <w:r w:rsidR="007C70BA">
        <w:t> </w:t>
      </w:r>
      <w:r w:rsidR="00A503FF">
        <w:t xml:space="preserve">1116 </w:t>
      </w:r>
      <w:r w:rsidR="007C70BA">
        <w:t>a</w:t>
      </w:r>
      <w:r w:rsidR="00A503FF">
        <w:t>llows TG voting members to participate in auditor interviews.</w:t>
      </w:r>
    </w:p>
    <w:p w14:paraId="218D0733" w14:textId="509DD3EE" w:rsidR="00FD7AA0" w:rsidRDefault="00D22DCE" w:rsidP="00FD7AA0">
      <w:pPr>
        <w:pStyle w:val="Heading1"/>
      </w:pPr>
      <w:r>
        <w:t>S</w:t>
      </w:r>
      <w:r w:rsidR="00296D92">
        <w:t>ea</w:t>
      </w:r>
      <w:r w:rsidR="00FD7AA0">
        <w:t>L</w:t>
      </w:r>
      <w:r w:rsidR="00296D92">
        <w:t>an</w:t>
      </w:r>
      <w:r>
        <w:t>t</w:t>
      </w:r>
      <w:r w:rsidR="00FB23C6">
        <w:t xml:space="preserve"> Task Group Initiatives – open</w:t>
      </w:r>
    </w:p>
    <w:p w14:paraId="1F27693D" w14:textId="776D3EBF" w:rsidR="005E4CE6" w:rsidRPr="005E4CE6" w:rsidRDefault="007C70BA" w:rsidP="005E4CE6">
      <w:pPr>
        <w:pStyle w:val="Body"/>
      </w:pPr>
      <w:r>
        <w:t xml:space="preserve">The </w:t>
      </w:r>
      <w:r w:rsidR="005E4CE6" w:rsidRPr="005E4CE6">
        <w:t>S</w:t>
      </w:r>
      <w:r>
        <w:t>LT</w:t>
      </w:r>
      <w:r w:rsidR="005E4CE6" w:rsidRPr="005E4CE6">
        <w:t xml:space="preserve"> TG created the following list of activities and rated them as High (H), Medium (M) or Low (L) priority and if are (A) Active, (N) Not Active or (C) Closed. </w:t>
      </w:r>
      <w:r>
        <w:t>The l</w:t>
      </w:r>
      <w:r w:rsidR="005E4CE6" w:rsidRPr="005E4CE6">
        <w:t>ist was created so the SLT TG maintains focus on its hig</w:t>
      </w:r>
      <w:r w:rsidR="00FB23C6">
        <w:t>h priority tasks.</w:t>
      </w:r>
    </w:p>
    <w:p w14:paraId="7592CA4F" w14:textId="2F4335A1" w:rsidR="005E4CE6" w:rsidRPr="005E4CE6" w:rsidRDefault="005E4CE6" w:rsidP="006427E5">
      <w:pPr>
        <w:pStyle w:val="Body"/>
        <w:spacing w:after="0"/>
        <w:ind w:left="1440" w:hanging="720"/>
      </w:pPr>
      <w:r w:rsidRPr="005E4CE6">
        <w:t>(H-A)</w:t>
      </w:r>
      <w:r w:rsidRPr="005E4CE6">
        <w:tab/>
        <w:t xml:space="preserve">Tracking future changes to AC7200/1 and AC7202 </w:t>
      </w:r>
      <w:r w:rsidR="00687881">
        <w:t>in spreadsheet</w:t>
      </w:r>
    </w:p>
    <w:p w14:paraId="1B6820C7" w14:textId="77777777" w:rsidR="005E4CE6" w:rsidRPr="005E4CE6" w:rsidRDefault="005E4CE6" w:rsidP="006427E5">
      <w:pPr>
        <w:pStyle w:val="Body"/>
        <w:spacing w:after="0"/>
        <w:ind w:left="1440" w:hanging="720"/>
      </w:pPr>
      <w:r w:rsidRPr="005E4CE6">
        <w:t>(H-A)</w:t>
      </w:r>
      <w:r w:rsidRPr="005E4CE6">
        <w:tab/>
        <w:t>OP 1117 auditor consistency progress tracking</w:t>
      </w:r>
    </w:p>
    <w:p w14:paraId="04BE3150" w14:textId="5FE1E4AA" w:rsidR="005E4CE6" w:rsidRPr="005E4CE6" w:rsidRDefault="005E4CE6" w:rsidP="006427E5">
      <w:pPr>
        <w:pStyle w:val="Body"/>
        <w:spacing w:after="0"/>
        <w:ind w:left="1440" w:hanging="720"/>
      </w:pPr>
      <w:r>
        <w:t>(H-A</w:t>
      </w:r>
      <w:r w:rsidRPr="005E4CE6">
        <w:t>)</w:t>
      </w:r>
      <w:r w:rsidRPr="005E4CE6">
        <w:tab/>
        <w:t>October 2017 Auditor Conference</w:t>
      </w:r>
    </w:p>
    <w:p w14:paraId="10A4F65C" w14:textId="20CBC3F2" w:rsidR="005E4CE6" w:rsidRPr="005E4CE6" w:rsidRDefault="005E4CE6" w:rsidP="006427E5">
      <w:pPr>
        <w:pStyle w:val="Body"/>
        <w:spacing w:after="0"/>
        <w:ind w:left="1440" w:hanging="720"/>
      </w:pPr>
      <w:r w:rsidRPr="005E4CE6">
        <w:t>(H-C)</w:t>
      </w:r>
      <w:r w:rsidRPr="005E4CE6">
        <w:tab/>
        <w:t>Audit Effectiveness, job tracker</w:t>
      </w:r>
    </w:p>
    <w:p w14:paraId="238BD7FA" w14:textId="2AA53A3B" w:rsidR="005E4CE6" w:rsidRPr="005E4CE6" w:rsidRDefault="005E4CE6" w:rsidP="006427E5">
      <w:pPr>
        <w:pStyle w:val="Body"/>
        <w:spacing w:after="0"/>
        <w:ind w:left="1440" w:hanging="720"/>
      </w:pPr>
      <w:r w:rsidRPr="005E4CE6">
        <w:t>(H-C)</w:t>
      </w:r>
      <w:r w:rsidRPr="005E4CE6">
        <w:tab/>
        <w:t>Sealant Audit Handbook Revision</w:t>
      </w:r>
      <w:r w:rsidR="00066096">
        <w:t xml:space="preserve"> for Testing</w:t>
      </w:r>
    </w:p>
    <w:p w14:paraId="46E96045" w14:textId="77777777" w:rsidR="005E4CE6" w:rsidRPr="005E4CE6" w:rsidRDefault="005E4CE6" w:rsidP="006427E5">
      <w:pPr>
        <w:pStyle w:val="Body"/>
        <w:spacing w:after="0"/>
        <w:ind w:left="1440" w:hanging="720"/>
      </w:pPr>
      <w:r w:rsidRPr="005E4CE6">
        <w:t>(H-C)</w:t>
      </w:r>
      <w:r w:rsidRPr="005E4CE6">
        <w:tab/>
        <w:t>Compliance with NMC Checklist Vision – SLT Application Checklist AC7129</w:t>
      </w:r>
    </w:p>
    <w:p w14:paraId="021F17BA" w14:textId="4A1EF809" w:rsidR="005E4CE6" w:rsidRPr="005E4CE6" w:rsidRDefault="005E4CE6" w:rsidP="006427E5">
      <w:pPr>
        <w:pStyle w:val="Body"/>
        <w:spacing w:after="0"/>
        <w:ind w:left="1440" w:hanging="720"/>
      </w:pPr>
      <w:r w:rsidRPr="005E4CE6">
        <w:t>(H-C)</w:t>
      </w:r>
      <w:r w:rsidRPr="005E4CE6">
        <w:tab/>
        <w:t>Develop Auditor training requirements for SLT Application Auditors</w:t>
      </w:r>
    </w:p>
    <w:p w14:paraId="7DDDFA2E" w14:textId="77777777" w:rsidR="005E4CE6" w:rsidRPr="005E4CE6" w:rsidRDefault="005E4CE6" w:rsidP="006427E5">
      <w:pPr>
        <w:pStyle w:val="Body"/>
        <w:spacing w:after="0"/>
        <w:ind w:left="1440" w:hanging="720"/>
      </w:pPr>
      <w:r w:rsidRPr="005E4CE6">
        <w:t>(H-C)</w:t>
      </w:r>
      <w:r w:rsidRPr="005E4CE6">
        <w:tab/>
        <w:t>OP 1114 Appendix SLT revision to address addition of AC7129 and SLT Audit Handbook to references in 5.0</w:t>
      </w:r>
    </w:p>
    <w:p w14:paraId="47D3BF15" w14:textId="52E52A08" w:rsidR="005E4CE6" w:rsidRDefault="005E4CE6" w:rsidP="006427E5">
      <w:pPr>
        <w:pStyle w:val="Body"/>
        <w:spacing w:after="0"/>
        <w:ind w:left="1440" w:hanging="720"/>
      </w:pPr>
      <w:r w:rsidRPr="005E4CE6">
        <w:t>(H-C)</w:t>
      </w:r>
      <w:r w:rsidRPr="005E4CE6">
        <w:tab/>
        <w:t>Subscriber Specification Sealant Testing Requirements</w:t>
      </w:r>
    </w:p>
    <w:p w14:paraId="3C8A447B" w14:textId="227DE8BF" w:rsidR="00066096" w:rsidRDefault="00066096" w:rsidP="006427E5">
      <w:pPr>
        <w:pStyle w:val="Body"/>
        <w:spacing w:after="0"/>
        <w:ind w:left="1440" w:hanging="720"/>
      </w:pPr>
      <w:r w:rsidRPr="005E4CE6">
        <w:t>(H-</w:t>
      </w:r>
      <w:r>
        <w:t>C</w:t>
      </w:r>
      <w:r w:rsidRPr="005E4CE6">
        <w:t>)</w:t>
      </w:r>
      <w:r w:rsidR="006427E5">
        <w:tab/>
      </w:r>
      <w:r w:rsidRPr="005E4CE6">
        <w:t>Sealant Application Checklist – Scope is verifying the sealing activities are being performed correctly, number of suppliers to be audited, training program, certification program, Subscriber willing</w:t>
      </w:r>
      <w:r>
        <w:t>ness</w:t>
      </w:r>
      <w:r w:rsidRPr="005E4CE6">
        <w:t xml:space="preserve"> to mandate</w:t>
      </w:r>
      <w:r>
        <w:t>;</w:t>
      </w:r>
      <w:r w:rsidRPr="005E4CE6">
        <w:t xml:space="preserve"> </w:t>
      </w:r>
      <w:r>
        <w:t>s</w:t>
      </w:r>
      <w:r w:rsidRPr="005E4CE6">
        <w:t>ub</w:t>
      </w:r>
      <w:r>
        <w:t>-</w:t>
      </w:r>
      <w:r w:rsidRPr="005E4CE6">
        <w:t>team working on subscribers that responded to survey</w:t>
      </w:r>
      <w:r>
        <w:t>;</w:t>
      </w:r>
      <w:r w:rsidRPr="005E4CE6">
        <w:t xml:space="preserve"> </w:t>
      </w:r>
      <w:r>
        <w:t>f</w:t>
      </w:r>
      <w:r w:rsidRPr="005E4CE6">
        <w:t>ollow</w:t>
      </w:r>
      <w:r>
        <w:t>ing</w:t>
      </w:r>
      <w:r w:rsidRPr="005E4CE6">
        <w:t xml:space="preserve"> S</w:t>
      </w:r>
      <w:r>
        <w:t>ealant</w:t>
      </w:r>
      <w:r w:rsidRPr="005E4CE6">
        <w:t xml:space="preserve"> Application Move Forward Plan</w:t>
      </w:r>
      <w:r>
        <w:t>.</w:t>
      </w:r>
    </w:p>
    <w:p w14:paraId="7C440989" w14:textId="13C95ADB" w:rsidR="00066096" w:rsidRPr="005E4CE6" w:rsidRDefault="00066096" w:rsidP="006427E5">
      <w:pPr>
        <w:pStyle w:val="Body"/>
        <w:spacing w:after="0"/>
        <w:ind w:left="1440" w:hanging="720"/>
      </w:pPr>
      <w:r w:rsidRPr="005E4CE6">
        <w:t>(M-</w:t>
      </w:r>
      <w:r>
        <w:t>C</w:t>
      </w:r>
      <w:r w:rsidRPr="005E4CE6">
        <w:t>)</w:t>
      </w:r>
      <w:r w:rsidRPr="005E4CE6">
        <w:tab/>
        <w:t>Auditor Consistency Oversight (Subscriber / Supplier Feedback) OP</w:t>
      </w:r>
      <w:r>
        <w:t xml:space="preserve"> </w:t>
      </w:r>
      <w:r w:rsidRPr="005E4CE6">
        <w:t>1117 min</w:t>
      </w:r>
      <w:r w:rsidR="006427E5">
        <w:t>imum</w:t>
      </w:r>
      <w:r w:rsidRPr="005E4CE6">
        <w:t xml:space="preserve"> once a year.</w:t>
      </w:r>
    </w:p>
    <w:p w14:paraId="3478B607" w14:textId="77777777" w:rsidR="00AB141D" w:rsidRPr="005E4CE6" w:rsidRDefault="00AB141D" w:rsidP="006427E5">
      <w:pPr>
        <w:pStyle w:val="Body"/>
        <w:spacing w:after="0"/>
        <w:ind w:left="1440" w:hanging="720"/>
      </w:pPr>
      <w:r>
        <w:t>(L-C</w:t>
      </w:r>
      <w:r w:rsidRPr="005E4CE6">
        <w:t>)</w:t>
      </w:r>
      <w:r w:rsidRPr="005E4CE6">
        <w:tab/>
        <w:t>Contract Sealant Application Auditors</w:t>
      </w:r>
    </w:p>
    <w:p w14:paraId="215669AA" w14:textId="082CE63F" w:rsidR="005E4CE6" w:rsidRPr="005E4CE6" w:rsidRDefault="005E4CE6" w:rsidP="006427E5">
      <w:pPr>
        <w:pStyle w:val="Body"/>
        <w:spacing w:after="0"/>
        <w:ind w:left="1440" w:hanging="720"/>
      </w:pPr>
      <w:r w:rsidRPr="005E4CE6">
        <w:t>(L-C)</w:t>
      </w:r>
      <w:r w:rsidRPr="005E4CE6">
        <w:tab/>
        <w:t>Sealant Applicator / Technician Qualification Program (eQuaLearn)</w:t>
      </w:r>
    </w:p>
    <w:p w14:paraId="0B205ADB" w14:textId="77777777" w:rsidR="005E4CE6" w:rsidRPr="005E4CE6" w:rsidRDefault="005E4CE6" w:rsidP="006427E5">
      <w:pPr>
        <w:pStyle w:val="Body"/>
        <w:spacing w:after="0"/>
        <w:ind w:left="1440" w:hanging="720"/>
      </w:pPr>
      <w:r w:rsidRPr="005E4CE6">
        <w:t>(L-C)</w:t>
      </w:r>
      <w:r w:rsidRPr="005E4CE6">
        <w:tab/>
        <w:t>Sealant Test Laboratory Independent Audit Question Development AC7200/1 &amp; AC7202</w:t>
      </w:r>
    </w:p>
    <w:p w14:paraId="1523F2D4" w14:textId="77777777" w:rsidR="005E4CE6" w:rsidRDefault="005E4CE6" w:rsidP="00FB23C6">
      <w:pPr>
        <w:pStyle w:val="Body"/>
        <w:spacing w:after="0"/>
      </w:pPr>
    </w:p>
    <w:p w14:paraId="42DF4C81" w14:textId="795B34A7" w:rsidR="007C305A" w:rsidRDefault="00FD7AA0" w:rsidP="00764BF3">
      <w:pPr>
        <w:pStyle w:val="Heading1"/>
      </w:pPr>
      <w:r>
        <w:t>new business – open</w:t>
      </w:r>
    </w:p>
    <w:p w14:paraId="3AFFE27B" w14:textId="39879498" w:rsidR="00D22DCE" w:rsidRPr="00D22DCE" w:rsidRDefault="00574A5B" w:rsidP="00D22DCE">
      <w:pPr>
        <w:pStyle w:val="Body"/>
      </w:pPr>
      <w:r>
        <w:t>No new business was discussed.</w:t>
      </w:r>
    </w:p>
    <w:p w14:paraId="1FD984FA" w14:textId="0385BB41" w:rsidR="00FD7AA0" w:rsidRDefault="00FD7AA0" w:rsidP="00FD7AA0">
      <w:pPr>
        <w:pStyle w:val="Heading1"/>
      </w:pPr>
      <w:r>
        <w:t>Meeting Close out – open</w:t>
      </w:r>
    </w:p>
    <w:p w14:paraId="4FBF994F" w14:textId="349A660E" w:rsidR="00D22DCE" w:rsidRDefault="00FD7AA0" w:rsidP="00D22DCE">
      <w:pPr>
        <w:pStyle w:val="Heading2"/>
      </w:pPr>
      <w:r>
        <w:t>Review of Action It</w:t>
      </w:r>
      <w:r w:rsidR="00FB23C6">
        <w:t>ems Assigned During the Meeting</w:t>
      </w:r>
    </w:p>
    <w:p w14:paraId="41A5E8D2" w14:textId="085A0375" w:rsidR="0006663C" w:rsidRPr="00D24E3D" w:rsidRDefault="0006663C" w:rsidP="0006663C">
      <w:pPr>
        <w:pStyle w:val="Body"/>
      </w:pPr>
      <w:r w:rsidRPr="0006663C">
        <w:t>Action</w:t>
      </w:r>
      <w:r w:rsidRPr="00D24E3D">
        <w:t xml:space="preserve"> items </w:t>
      </w:r>
      <w:r>
        <w:t xml:space="preserve">identified during the meeting </w:t>
      </w:r>
      <w:r w:rsidRPr="00D24E3D">
        <w:t xml:space="preserve">were reviewed and due dates established. For specific details, please see the current SLT Rolling Action Item List posted at </w:t>
      </w:r>
      <w:hyperlink r:id="rId17" w:history="1">
        <w:r w:rsidRPr="00D24E3D">
          <w:rPr>
            <w:rStyle w:val="Hyperlink"/>
            <w:color w:val="auto"/>
            <w:u w:val="none"/>
          </w:rPr>
          <w:t>www.eAuditNet.com</w:t>
        </w:r>
      </w:hyperlink>
      <w:r w:rsidRPr="0019525E">
        <w:t>, under Public Documents.</w:t>
      </w:r>
    </w:p>
    <w:p w14:paraId="28F77C50" w14:textId="3BB160F9" w:rsidR="00FD7AA0" w:rsidRDefault="00FD7AA0" w:rsidP="00D22DCE">
      <w:pPr>
        <w:pStyle w:val="Heading2"/>
      </w:pPr>
      <w:r>
        <w:t xml:space="preserve">Set Next Meeting </w:t>
      </w:r>
      <w:r w:rsidR="00D22DCE">
        <w:t xml:space="preserve">Agenda </w:t>
      </w:r>
      <w:r>
        <w:t>Topics</w:t>
      </w:r>
    </w:p>
    <w:p w14:paraId="511688A4" w14:textId="20E1121B" w:rsidR="00574A5B" w:rsidRPr="00D24E3D" w:rsidRDefault="00574A5B" w:rsidP="00574A5B">
      <w:pPr>
        <w:pStyle w:val="Body"/>
      </w:pPr>
      <w:r>
        <w:t>June 2017 Agenda Topics were determined</w:t>
      </w:r>
      <w:r w:rsidR="008C5B00">
        <w:t xml:space="preserve">. </w:t>
      </w:r>
      <w:r w:rsidRPr="00D24E3D">
        <w:t>Open agenda topics will include:</w:t>
      </w:r>
    </w:p>
    <w:p w14:paraId="6884E3CD" w14:textId="77777777" w:rsidR="00574A5B" w:rsidRDefault="00574A5B" w:rsidP="00574A5B">
      <w:pPr>
        <w:pStyle w:val="ListParagraph"/>
        <w:numPr>
          <w:ilvl w:val="0"/>
          <w:numId w:val="5"/>
        </w:numPr>
      </w:pPr>
      <w:bookmarkStart w:id="1" w:name="_Toc455744706"/>
      <w:r>
        <w:t>Voting Member Updates and Compliance with Voting Requirements</w:t>
      </w:r>
      <w:bookmarkEnd w:id="1"/>
    </w:p>
    <w:p w14:paraId="4D2422B6" w14:textId="77777777" w:rsidR="00574A5B" w:rsidRPr="00BB2CF3" w:rsidRDefault="00574A5B" w:rsidP="00574A5B">
      <w:pPr>
        <w:pStyle w:val="ListParagraph"/>
        <w:numPr>
          <w:ilvl w:val="0"/>
          <w:numId w:val="5"/>
        </w:numPr>
      </w:pPr>
      <w:r w:rsidRPr="00BB2CF3">
        <w:t>SLT RAIL Review</w:t>
      </w:r>
    </w:p>
    <w:p w14:paraId="7E5487E4" w14:textId="77777777" w:rsidR="00574A5B" w:rsidRPr="00FE47C1" w:rsidRDefault="00574A5B" w:rsidP="00574A5B">
      <w:pPr>
        <w:pStyle w:val="ListParagraph"/>
        <w:numPr>
          <w:ilvl w:val="0"/>
          <w:numId w:val="5"/>
        </w:numPr>
      </w:pPr>
      <w:r w:rsidRPr="00FE47C1">
        <w:t>Staff Report</w:t>
      </w:r>
    </w:p>
    <w:p w14:paraId="0BEE25A0" w14:textId="77777777" w:rsidR="00574A5B" w:rsidRDefault="00574A5B" w:rsidP="00574A5B">
      <w:pPr>
        <w:pStyle w:val="ListParagraph"/>
        <w:numPr>
          <w:ilvl w:val="0"/>
          <w:numId w:val="5"/>
        </w:numPr>
      </w:pPr>
      <w:r w:rsidRPr="00FE47C1">
        <w:t>SSC Report</w:t>
      </w:r>
    </w:p>
    <w:p w14:paraId="4A261EE6" w14:textId="77777777" w:rsidR="00574A5B" w:rsidRDefault="00574A5B" w:rsidP="00574A5B">
      <w:pPr>
        <w:pStyle w:val="ListParagraph"/>
        <w:numPr>
          <w:ilvl w:val="0"/>
          <w:numId w:val="5"/>
        </w:numPr>
      </w:pPr>
      <w:r>
        <w:t>Status of Aero Structure Assembly Task Group</w:t>
      </w:r>
    </w:p>
    <w:p w14:paraId="337C4B1A" w14:textId="77777777" w:rsidR="00574A5B" w:rsidRDefault="00574A5B" w:rsidP="00574A5B">
      <w:pPr>
        <w:pStyle w:val="ListParagraph"/>
        <w:numPr>
          <w:ilvl w:val="0"/>
          <w:numId w:val="5"/>
        </w:numPr>
      </w:pPr>
      <w:r>
        <w:t>Audit Effectiveness</w:t>
      </w:r>
    </w:p>
    <w:p w14:paraId="4259ED5A" w14:textId="047E6D7E" w:rsidR="00574A5B" w:rsidRDefault="00574A5B" w:rsidP="00574A5B">
      <w:pPr>
        <w:pStyle w:val="ListParagraph"/>
        <w:numPr>
          <w:ilvl w:val="0"/>
          <w:numId w:val="5"/>
        </w:numPr>
      </w:pPr>
      <w:r>
        <w:t>OP 1117 Auditor Consistency</w:t>
      </w:r>
    </w:p>
    <w:p w14:paraId="013B1E85" w14:textId="6E4FC4EB" w:rsidR="00574A5B" w:rsidRDefault="00574A5B" w:rsidP="00574A5B">
      <w:pPr>
        <w:pStyle w:val="ListParagraph"/>
        <w:numPr>
          <w:ilvl w:val="0"/>
          <w:numId w:val="5"/>
        </w:numPr>
      </w:pPr>
      <w:r>
        <w:t>Review of Procedure Changes since the February 2017 meeting</w:t>
      </w:r>
    </w:p>
    <w:p w14:paraId="0EF3656C" w14:textId="77777777" w:rsidR="00574A5B" w:rsidRDefault="00574A5B" w:rsidP="00574A5B">
      <w:pPr>
        <w:pStyle w:val="ListParagraph"/>
        <w:numPr>
          <w:ilvl w:val="0"/>
          <w:numId w:val="5"/>
        </w:numPr>
      </w:pPr>
      <w:r>
        <w:t>AC7202 and AC7200/1</w:t>
      </w:r>
    </w:p>
    <w:p w14:paraId="2A869DE7" w14:textId="77777777" w:rsidR="00574A5B" w:rsidRDefault="00574A5B" w:rsidP="00574A5B">
      <w:pPr>
        <w:pStyle w:val="ListParagraph"/>
        <w:numPr>
          <w:ilvl w:val="1"/>
          <w:numId w:val="5"/>
        </w:numPr>
      </w:pPr>
      <w:r>
        <w:t>Ballot Comment Resolution / Revisions</w:t>
      </w:r>
    </w:p>
    <w:p w14:paraId="09646D34" w14:textId="77777777" w:rsidR="00574A5B" w:rsidRDefault="00574A5B" w:rsidP="00574A5B">
      <w:pPr>
        <w:pStyle w:val="ListParagraph"/>
        <w:numPr>
          <w:ilvl w:val="1"/>
          <w:numId w:val="5"/>
        </w:numPr>
      </w:pPr>
      <w:r>
        <w:t>Future Changes</w:t>
      </w:r>
    </w:p>
    <w:p w14:paraId="6CBE25E6" w14:textId="77777777" w:rsidR="00574A5B" w:rsidRDefault="00574A5B" w:rsidP="00574A5B">
      <w:pPr>
        <w:pStyle w:val="ListParagraph"/>
        <w:numPr>
          <w:ilvl w:val="0"/>
          <w:numId w:val="5"/>
        </w:numPr>
      </w:pPr>
      <w:r>
        <w:t>Sealant Audit Handbook Review</w:t>
      </w:r>
    </w:p>
    <w:p w14:paraId="55C0E9BB" w14:textId="77777777" w:rsidR="00574A5B" w:rsidRDefault="00574A5B" w:rsidP="00574A5B">
      <w:pPr>
        <w:pStyle w:val="ListParagraph"/>
        <w:numPr>
          <w:ilvl w:val="0"/>
          <w:numId w:val="5"/>
        </w:numPr>
      </w:pPr>
      <w:r>
        <w:t>Sealant Surveillance</w:t>
      </w:r>
    </w:p>
    <w:p w14:paraId="64D38A77" w14:textId="77777777" w:rsidR="00574A5B" w:rsidRDefault="00574A5B" w:rsidP="00574A5B">
      <w:pPr>
        <w:pStyle w:val="ListParagraph"/>
        <w:numPr>
          <w:ilvl w:val="0"/>
          <w:numId w:val="5"/>
        </w:numPr>
      </w:pPr>
      <w:r w:rsidRPr="00FE47C1">
        <w:t>Sealant Initiatives</w:t>
      </w:r>
    </w:p>
    <w:p w14:paraId="2273E7C6" w14:textId="77777777" w:rsidR="00574A5B" w:rsidRPr="00FE47C1" w:rsidRDefault="00574A5B" w:rsidP="00574A5B">
      <w:pPr>
        <w:pStyle w:val="ListParagraph"/>
        <w:numPr>
          <w:ilvl w:val="0"/>
          <w:numId w:val="5"/>
        </w:numPr>
      </w:pPr>
      <w:r>
        <w:t>Supplier Input on Auditor Selection</w:t>
      </w:r>
    </w:p>
    <w:p w14:paraId="538F6A06" w14:textId="77777777" w:rsidR="00574A5B" w:rsidRDefault="00574A5B" w:rsidP="00574A5B">
      <w:pPr>
        <w:pStyle w:val="ListParagraph"/>
        <w:numPr>
          <w:ilvl w:val="0"/>
          <w:numId w:val="5"/>
        </w:numPr>
      </w:pPr>
      <w:r w:rsidRPr="00FE47C1">
        <w:t>New Business</w:t>
      </w:r>
    </w:p>
    <w:p w14:paraId="3FE352E1" w14:textId="77777777" w:rsidR="00574A5B" w:rsidRDefault="00574A5B" w:rsidP="00574A5B">
      <w:pPr>
        <w:pStyle w:val="ListParagraph"/>
        <w:numPr>
          <w:ilvl w:val="0"/>
          <w:numId w:val="5"/>
        </w:numPr>
      </w:pPr>
      <w:r>
        <w:t>Meeting Close Out</w:t>
      </w:r>
    </w:p>
    <w:p w14:paraId="7B16114A" w14:textId="77777777" w:rsidR="00D22DCE" w:rsidRDefault="00D22DCE" w:rsidP="00D22DCE">
      <w:pPr>
        <w:pStyle w:val="Heading1"/>
      </w:pPr>
      <w:r>
        <w:t>Auditors – closed</w:t>
      </w:r>
    </w:p>
    <w:p w14:paraId="532F72CC" w14:textId="3992515F" w:rsidR="00855DCD" w:rsidRDefault="00D22DCE" w:rsidP="00D22DCE">
      <w:pPr>
        <w:pStyle w:val="Heading2"/>
      </w:pPr>
      <w:r>
        <w:t>Data Analysis Review – Overall Auditor Performance</w:t>
      </w:r>
    </w:p>
    <w:p w14:paraId="239311F8" w14:textId="06324105" w:rsidR="008A4E46" w:rsidRPr="00453524" w:rsidRDefault="008A4E46" w:rsidP="008A4E46">
      <w:pPr>
        <w:pStyle w:val="Body"/>
      </w:pPr>
      <w:r w:rsidRPr="00D24E3D">
        <w:t>Auditor performance was reviewed and included the Average and Total NCRs per Day written by the Auditors, Staff Engineer feedback</w:t>
      </w:r>
      <w:r>
        <w:t>,</w:t>
      </w:r>
      <w:r w:rsidRPr="00D24E3D">
        <w:t xml:space="preserve"> and Supplier feedback. This information is used for evaluating Auditor Consistency. </w:t>
      </w:r>
      <w:r>
        <w:t xml:space="preserve">The 2017 Observation plan was reviewed. One </w:t>
      </w:r>
      <w:r w:rsidR="00F05558">
        <w:t xml:space="preserve">new </w:t>
      </w:r>
      <w:r>
        <w:t>Auditor will need to be observed.</w:t>
      </w:r>
    </w:p>
    <w:p w14:paraId="27976551" w14:textId="5C252C23" w:rsidR="00D22DCE" w:rsidRDefault="00D22DCE" w:rsidP="00D22DCE">
      <w:pPr>
        <w:pStyle w:val="Heading2"/>
      </w:pPr>
      <w:r>
        <w:t>OP 1117 Auditor Consistency</w:t>
      </w:r>
    </w:p>
    <w:p w14:paraId="670ADB4A" w14:textId="1C91E929" w:rsidR="008A4E46" w:rsidRDefault="008A4E46">
      <w:pPr>
        <w:pStyle w:val="Body"/>
      </w:pPr>
      <w:r w:rsidRPr="00453524">
        <w:t>OP 1117 Auditor Consistency</w:t>
      </w:r>
      <w:r>
        <w:t xml:space="preserve"> Tracking spreadsheet was reviewed. </w:t>
      </w:r>
      <w:r w:rsidR="00F05558" w:rsidRPr="00347223">
        <w:t>All actions were up to date.</w:t>
      </w:r>
    </w:p>
    <w:p w14:paraId="5FABAFFC" w14:textId="0B603076" w:rsidR="00855DCD" w:rsidRDefault="00855DCD" w:rsidP="00764BF3">
      <w:pPr>
        <w:pStyle w:val="Heading1"/>
      </w:pPr>
      <w:r>
        <w:t>Audits – closed</w:t>
      </w:r>
    </w:p>
    <w:p w14:paraId="62368AC2" w14:textId="539B0C41" w:rsidR="00855DCD" w:rsidRDefault="00855DCD" w:rsidP="00855DCD">
      <w:pPr>
        <w:pStyle w:val="Heading2"/>
      </w:pPr>
      <w:r>
        <w:t>Review Scheduled and Conducted Audits</w:t>
      </w:r>
    </w:p>
    <w:p w14:paraId="53878499" w14:textId="77777777" w:rsidR="0006663C" w:rsidRPr="00D24E3D" w:rsidRDefault="0006663C" w:rsidP="0006663C">
      <w:pPr>
        <w:pStyle w:val="Body"/>
      </w:pPr>
      <w:r w:rsidRPr="00D24E3D">
        <w:t>Scheduled and conducted audits were reviewed.</w:t>
      </w:r>
    </w:p>
    <w:p w14:paraId="10F6CEC1" w14:textId="4A581906" w:rsidR="0006663C" w:rsidRPr="00D24E3D" w:rsidRDefault="0006663C" w:rsidP="0006663C">
      <w:pPr>
        <w:pStyle w:val="Body"/>
      </w:pPr>
      <w:r w:rsidRPr="00D24E3D">
        <w:t xml:space="preserve">The current SLT audit schedule for the next six months was reviewed; </w:t>
      </w:r>
      <w:r>
        <w:t>one</w:t>
      </w:r>
      <w:r w:rsidRPr="00D24E3D">
        <w:t xml:space="preserve"> observations audit </w:t>
      </w:r>
      <w:r>
        <w:t>is scheduled for 2017.</w:t>
      </w:r>
    </w:p>
    <w:p w14:paraId="67668E8A" w14:textId="77777777" w:rsidR="0006663C" w:rsidRPr="00D24E3D" w:rsidRDefault="0006663C" w:rsidP="0006663C">
      <w:pPr>
        <w:pStyle w:val="Body"/>
      </w:pPr>
      <w:r w:rsidRPr="00D24E3D">
        <w:t>Sealant au</w:t>
      </w:r>
      <w:r>
        <w:t>dits in Staff Engineer Review were reviewed; no specific actions were identified or required.</w:t>
      </w:r>
    </w:p>
    <w:p w14:paraId="64772876" w14:textId="53569996" w:rsidR="0006663C" w:rsidRDefault="0006663C" w:rsidP="0006663C">
      <w:pPr>
        <w:pStyle w:val="ActionItem"/>
      </w:pPr>
      <w:r>
        <w:t>ACTION ITEM</w:t>
      </w:r>
      <w:r w:rsidRPr="00D24E3D">
        <w:t>: Subscr</w:t>
      </w:r>
      <w:r>
        <w:t>ibers that can observe a SLT</w:t>
      </w:r>
      <w:r w:rsidRPr="00D24E3D">
        <w:t xml:space="preserve"> audit are to notify </w:t>
      </w:r>
      <w:r>
        <w:t>PRI Staff or sign up in eAuditNet. (Due Date: 30-</w:t>
      </w:r>
      <w:r w:rsidR="00066096">
        <w:t>Apr</w:t>
      </w:r>
      <w:r>
        <w:t>-2017</w:t>
      </w:r>
      <w:r w:rsidRPr="00D24E3D">
        <w:t>)</w:t>
      </w:r>
    </w:p>
    <w:p w14:paraId="578EB605" w14:textId="0F68F979" w:rsidR="00855DCD" w:rsidRDefault="00855DCD" w:rsidP="00855DCD">
      <w:pPr>
        <w:pStyle w:val="Heading2"/>
      </w:pPr>
      <w:r>
        <w:t>Discuss Problem Audits</w:t>
      </w:r>
    </w:p>
    <w:p w14:paraId="49375E97" w14:textId="1E3A85DD" w:rsidR="008A4E46" w:rsidRPr="008A4E46" w:rsidRDefault="008430DA" w:rsidP="008A4E46">
      <w:pPr>
        <w:pStyle w:val="Body"/>
      </w:pPr>
      <w:r>
        <w:t>No problem audits were discussed.</w:t>
      </w:r>
    </w:p>
    <w:p w14:paraId="2E5559AD" w14:textId="462E2516" w:rsidR="00D22DCE" w:rsidRDefault="00D22DCE" w:rsidP="00D22DCE">
      <w:pPr>
        <w:pStyle w:val="Heading2"/>
      </w:pPr>
      <w:r>
        <w:t>Audit Gaming</w:t>
      </w:r>
    </w:p>
    <w:p w14:paraId="039D61B9" w14:textId="20A76D03" w:rsidR="003809D0" w:rsidRPr="00CD48A4" w:rsidRDefault="00F05558" w:rsidP="003809D0">
      <w:pPr>
        <w:pStyle w:val="Body"/>
      </w:pPr>
      <w:r>
        <w:t>One</w:t>
      </w:r>
      <w:r w:rsidR="008430DA">
        <w:t xml:space="preserve"> </w:t>
      </w:r>
      <w:r w:rsidR="003809D0">
        <w:t>reason for Job tracker is to assure different jobs and operators are observed in subsequent audits.</w:t>
      </w:r>
    </w:p>
    <w:p w14:paraId="71C02514" w14:textId="2459A66F" w:rsidR="00D22DCE" w:rsidRDefault="00D22DCE" w:rsidP="00764BF3">
      <w:pPr>
        <w:pStyle w:val="Heading1"/>
      </w:pPr>
      <w:r>
        <w:t>review delegation status – closed</w:t>
      </w:r>
    </w:p>
    <w:p w14:paraId="43023D1B" w14:textId="3BC0030F" w:rsidR="008430DA" w:rsidRDefault="008430DA" w:rsidP="008430DA">
      <w:pPr>
        <w:pStyle w:val="Body"/>
      </w:pPr>
      <w:r w:rsidRPr="00D24E3D">
        <w:t>Staff Engineer</w:t>
      </w:r>
      <w:r>
        <w:t>,</w:t>
      </w:r>
      <w:r w:rsidRPr="00D24E3D">
        <w:t xml:space="preserve"> K. Purnell met the minimum criteria of having at least 10% of findings reviewed by the Task Group Subscribers with at least a 90% concurrence rate. </w:t>
      </w:r>
      <w:r w:rsidR="00CE4568">
        <w:t xml:space="preserve">The requirement to review at least ten audits was not met, however, the Task Group agreed to waive that requirement. </w:t>
      </w:r>
      <w:r w:rsidRPr="00D24E3D">
        <w:t>K. Purnell maintains delegated status</w:t>
      </w:r>
      <w:r>
        <w:t>.</w:t>
      </w:r>
    </w:p>
    <w:p w14:paraId="47EF13F8" w14:textId="2B31E710" w:rsidR="008430DA" w:rsidRDefault="008430DA" w:rsidP="008430DA">
      <w:pPr>
        <w:pStyle w:val="Body"/>
      </w:pPr>
      <w:r>
        <w:t xml:space="preserve">Staff Engineer, J. Lewis did not meet the minimum </w:t>
      </w:r>
      <w:r w:rsidRPr="00EE14F5">
        <w:t>met the minimum criteria of having at least 10% of findings reviewed by the Task Group Subscribers with at least a 90% concurrence rate</w:t>
      </w:r>
      <w:r w:rsidR="00CE4568">
        <w:t xml:space="preserve"> as there were no findings on the</w:t>
      </w:r>
      <w:r w:rsidR="00F05558">
        <w:t xml:space="preserve"> audit reviewed in this period.</w:t>
      </w:r>
      <w:r w:rsidR="00CE4568">
        <w:t xml:space="preserve"> As delegation was only recently granted, the review of a minimum of 10 audits was not met either.</w:t>
      </w:r>
      <w:r w:rsidR="000A56D9">
        <w:t xml:space="preserve"> </w:t>
      </w:r>
      <w:r>
        <w:t xml:space="preserve">The </w:t>
      </w:r>
      <w:r w:rsidR="00CE4568">
        <w:t xml:space="preserve">Task Group agreed to waive these </w:t>
      </w:r>
      <w:r>
        <w:t>criteria</w:t>
      </w:r>
      <w:r w:rsidR="00CE4568">
        <w:t>.</w:t>
      </w:r>
      <w:r>
        <w:t xml:space="preserve"> J. Lewis </w:t>
      </w:r>
      <w:r w:rsidR="00FB23C6">
        <w:t>maintain</w:t>
      </w:r>
      <w:r w:rsidR="00CE4568">
        <w:t>s</w:t>
      </w:r>
      <w:r w:rsidR="00FB23C6">
        <w:t xml:space="preserve"> delegated status.</w:t>
      </w:r>
    </w:p>
    <w:p w14:paraId="39DDDECC" w14:textId="6A510449" w:rsidR="008430DA" w:rsidRDefault="008430DA" w:rsidP="008430DA">
      <w:pPr>
        <w:pStyle w:val="Body"/>
      </w:pPr>
      <w:r>
        <w:t>Motion made by M</w:t>
      </w:r>
      <w:r w:rsidR="009E7510">
        <w:t>.</w:t>
      </w:r>
      <w:r>
        <w:t xml:space="preserve"> </w:t>
      </w:r>
      <w:r w:rsidRPr="004F76BB">
        <w:t xml:space="preserve">Koucouthakis </w:t>
      </w:r>
      <w:r>
        <w:t>and seconded by M</w:t>
      </w:r>
      <w:r w:rsidR="009E7510">
        <w:t>.</w:t>
      </w:r>
      <w:r>
        <w:t xml:space="preserve"> </w:t>
      </w:r>
      <w:r w:rsidRPr="004F76BB">
        <w:t>Gourley</w:t>
      </w:r>
      <w:r>
        <w:t xml:space="preserve"> to waive the TG Subscriber concurrence rate </w:t>
      </w:r>
      <w:r w:rsidR="0064222A">
        <w:t xml:space="preserve">and number of annual audits </w:t>
      </w:r>
      <w:r>
        <w:t>criteria for J. Lewis</w:t>
      </w:r>
      <w:r w:rsidR="0064222A">
        <w:t xml:space="preserve"> and K. Purnell</w:t>
      </w:r>
      <w:r>
        <w:t>, and to maintain delegation</w:t>
      </w:r>
      <w:r w:rsidR="00FB23C6">
        <w:t>. Motion Passed.</w:t>
      </w:r>
    </w:p>
    <w:p w14:paraId="36D22F94" w14:textId="64C350DF" w:rsidR="00D22DCE" w:rsidRDefault="00D22DCE" w:rsidP="00D22DCE">
      <w:pPr>
        <w:pStyle w:val="Heading1"/>
      </w:pPr>
      <w:r>
        <w:t>sealant surveillance – closed</w:t>
      </w:r>
    </w:p>
    <w:p w14:paraId="15492899" w14:textId="6569439D" w:rsidR="0064222A" w:rsidRDefault="0064222A" w:rsidP="008901BB">
      <w:pPr>
        <w:pStyle w:val="Heading2"/>
      </w:pPr>
      <w:r>
        <w:t>Review Charts</w:t>
      </w:r>
    </w:p>
    <w:p w14:paraId="4BF85D91" w14:textId="77777777" w:rsidR="0064222A" w:rsidRDefault="00F05558" w:rsidP="00F05558">
      <w:pPr>
        <w:pStyle w:val="Body"/>
      </w:pPr>
      <w:r w:rsidRPr="00D24E3D">
        <w:t>The Sealant Surveillance Program was reviewed</w:t>
      </w:r>
      <w:r>
        <w:t>. I</w:t>
      </w:r>
      <w:r w:rsidRPr="00D24E3D">
        <w:t xml:space="preserve">nspectors are recording discrepancies identified during surveillance. The importance of verifying Manufacturing Work Instructions was discussed. </w:t>
      </w:r>
      <w:r>
        <w:t xml:space="preserve">The </w:t>
      </w:r>
      <w:r w:rsidRPr="00D24E3D">
        <w:t>Sealant Surveillance spreadsheet</w:t>
      </w:r>
      <w:r>
        <w:t>s</w:t>
      </w:r>
      <w:r w:rsidRPr="00D24E3D">
        <w:t xml:space="preserve"> wit</w:t>
      </w:r>
      <w:r>
        <w:t xml:space="preserve">h the issues identified in 2016 were reviewed. </w:t>
      </w:r>
    </w:p>
    <w:p w14:paraId="15D677D0" w14:textId="0E0781DE" w:rsidR="0064222A" w:rsidRDefault="0064222A" w:rsidP="00DF7654">
      <w:pPr>
        <w:pStyle w:val="Heading2"/>
      </w:pPr>
      <w:r>
        <w:t>Open Discussion</w:t>
      </w:r>
    </w:p>
    <w:p w14:paraId="510DC7A3" w14:textId="1BA89A37" w:rsidR="00E74B93" w:rsidRPr="00E74B93" w:rsidRDefault="00E74B93" w:rsidP="006427E5">
      <w:pPr>
        <w:pStyle w:val="Body"/>
      </w:pPr>
      <w:r>
        <w:t>No new topics were discussed.</w:t>
      </w:r>
    </w:p>
    <w:p w14:paraId="7FB9B275" w14:textId="022DBE0F" w:rsidR="0064222A" w:rsidRDefault="0064222A" w:rsidP="00DF7654">
      <w:pPr>
        <w:pStyle w:val="Heading2"/>
      </w:pPr>
      <w:r>
        <w:t>Potential Supplier Merit Program for Sealant Surveillance</w:t>
      </w:r>
    </w:p>
    <w:p w14:paraId="60D2DE09" w14:textId="122A66E2" w:rsidR="00F05558" w:rsidRPr="00D24E3D" w:rsidRDefault="00F05558" w:rsidP="00F05558">
      <w:pPr>
        <w:pStyle w:val="Body"/>
      </w:pPr>
      <w:r>
        <w:t>A discussion was held regarding the possibility of allowing surveillance less frequently for good results without issues, similar to the merit program fo</w:t>
      </w:r>
      <w:r w:rsidR="00FB23C6">
        <w:t>r audits.</w:t>
      </w:r>
    </w:p>
    <w:p w14:paraId="175700D2" w14:textId="3C868C80" w:rsidR="00855DCD" w:rsidRDefault="00855DCD" w:rsidP="00764BF3">
      <w:pPr>
        <w:pStyle w:val="Heading1"/>
      </w:pPr>
      <w:r>
        <w:t>closed meeting issues – closed</w:t>
      </w:r>
    </w:p>
    <w:p w14:paraId="0765E9D4" w14:textId="2A945280" w:rsidR="003809D0" w:rsidRDefault="003809D0" w:rsidP="003809D0">
      <w:pPr>
        <w:pStyle w:val="Body"/>
      </w:pPr>
      <w:r>
        <w:t xml:space="preserve">The SLT TG needs a Secretary and </w:t>
      </w:r>
      <w:r w:rsidR="0064222A">
        <w:t xml:space="preserve">a </w:t>
      </w:r>
      <w:r>
        <w:t>Vice Chairperson. No one at the meeting volunteered for th</w:t>
      </w:r>
      <w:r w:rsidR="00F05558">
        <w:t>ese</w:t>
      </w:r>
      <w:r>
        <w:t xml:space="preserve"> positions.</w:t>
      </w:r>
    </w:p>
    <w:p w14:paraId="6BC81ED6" w14:textId="75A3F139" w:rsidR="003809D0" w:rsidRDefault="003809D0" w:rsidP="003809D0">
      <w:pPr>
        <w:pStyle w:val="ActionItem"/>
      </w:pPr>
      <w:r>
        <w:t>ACTION ITEM: Subscriber Voting Members interested in being the SLT TG Secretary or Vice Chairperson should e-mail PRI Staff. (Due Date: 31-May-2017)</w:t>
      </w:r>
    </w:p>
    <w:p w14:paraId="44AAC2D6" w14:textId="4A073E85" w:rsidR="00855DCD" w:rsidRDefault="00855DCD" w:rsidP="00764BF3">
      <w:pPr>
        <w:pStyle w:val="Heading1"/>
      </w:pPr>
      <w:r>
        <w:t>meeting close out – closed</w:t>
      </w:r>
    </w:p>
    <w:p w14:paraId="4600358D" w14:textId="59387D78" w:rsidR="00D22DCE" w:rsidRDefault="00D22DCE" w:rsidP="00D22DCE">
      <w:pPr>
        <w:pStyle w:val="Heading2"/>
      </w:pPr>
      <w:r>
        <w:t xml:space="preserve">Review of Action Items Assigned During the Meeting </w:t>
      </w:r>
    </w:p>
    <w:p w14:paraId="6732398F" w14:textId="6E0BCE96" w:rsidR="00F05558" w:rsidRPr="000A56D9" w:rsidRDefault="00F05558" w:rsidP="000A56D9">
      <w:pPr>
        <w:pStyle w:val="Body"/>
      </w:pPr>
      <w:r w:rsidRPr="0006663C">
        <w:t>Action</w:t>
      </w:r>
      <w:r w:rsidRPr="00D24E3D">
        <w:t xml:space="preserve"> items </w:t>
      </w:r>
      <w:r>
        <w:t xml:space="preserve">identified during the meeting </w:t>
      </w:r>
      <w:r w:rsidRPr="00D24E3D">
        <w:t xml:space="preserve">were reviewed and due dates established. For specific details, please see the current SLT Rolling Action Item List posted at </w:t>
      </w:r>
      <w:hyperlink r:id="rId18" w:history="1">
        <w:r w:rsidRPr="00D24E3D">
          <w:rPr>
            <w:rStyle w:val="Hyperlink"/>
            <w:color w:val="auto"/>
            <w:u w:val="none"/>
          </w:rPr>
          <w:t>www.eAuditNet.com</w:t>
        </w:r>
      </w:hyperlink>
      <w:r w:rsidRPr="0019525E">
        <w:t>, under Public Documents.</w:t>
      </w:r>
    </w:p>
    <w:p w14:paraId="11133732" w14:textId="21788B65" w:rsidR="00D22DCE" w:rsidRDefault="00D22DCE" w:rsidP="00D22DCE">
      <w:pPr>
        <w:pStyle w:val="Heading2"/>
      </w:pPr>
      <w:r>
        <w:t>Set Next Meeting Agenda Topics</w:t>
      </w:r>
    </w:p>
    <w:p w14:paraId="15CFCF67" w14:textId="77777777" w:rsidR="003809D0" w:rsidRPr="00D24E3D" w:rsidRDefault="003809D0" w:rsidP="003809D0">
      <w:pPr>
        <w:pStyle w:val="Body"/>
      </w:pPr>
      <w:r w:rsidRPr="00D24E3D">
        <w:t xml:space="preserve">Agenda Topics for </w:t>
      </w:r>
      <w:r>
        <w:t>June</w:t>
      </w:r>
      <w:r w:rsidRPr="00D24E3D">
        <w:t xml:space="preserve"> 201</w:t>
      </w:r>
      <w:r>
        <w:t>7</w:t>
      </w:r>
      <w:r w:rsidRPr="00D24E3D">
        <w:t xml:space="preserve"> Nadcap Meeting in </w:t>
      </w:r>
      <w:r>
        <w:t>in Berlin Germany</w:t>
      </w:r>
      <w:r w:rsidRPr="00D24E3D">
        <w:t xml:space="preserve"> were determined.</w:t>
      </w:r>
    </w:p>
    <w:p w14:paraId="605457EA" w14:textId="77777777" w:rsidR="003809D0" w:rsidRDefault="003809D0" w:rsidP="003809D0">
      <w:pPr>
        <w:pStyle w:val="Body"/>
        <w:keepNext/>
      </w:pPr>
      <w:r>
        <w:t>Closed</w:t>
      </w:r>
      <w:r w:rsidRPr="00C04985">
        <w:t xml:space="preserve"> </w:t>
      </w:r>
      <w:r>
        <w:t>a</w:t>
      </w:r>
      <w:r w:rsidRPr="00C04985">
        <w:t xml:space="preserve">genda </w:t>
      </w:r>
      <w:r>
        <w:t>topics will include:</w:t>
      </w:r>
    </w:p>
    <w:p w14:paraId="1EBDA060" w14:textId="77777777" w:rsidR="003809D0" w:rsidRPr="00FC5C33" w:rsidRDefault="003809D0" w:rsidP="003809D0">
      <w:pPr>
        <w:pStyle w:val="ListParagraph"/>
        <w:numPr>
          <w:ilvl w:val="0"/>
          <w:numId w:val="8"/>
        </w:numPr>
      </w:pPr>
      <w:r w:rsidRPr="00FC5C33">
        <w:t>Auditors</w:t>
      </w:r>
      <w:r>
        <w:t xml:space="preserve"> – Data Analysis Review and Auditor Consistency</w:t>
      </w:r>
    </w:p>
    <w:p w14:paraId="6BBE39B8" w14:textId="77777777" w:rsidR="003809D0" w:rsidRPr="0019525E" w:rsidRDefault="003809D0" w:rsidP="003809D0">
      <w:pPr>
        <w:pStyle w:val="ListParagraph"/>
        <w:numPr>
          <w:ilvl w:val="0"/>
          <w:numId w:val="8"/>
        </w:numPr>
      </w:pPr>
      <w:r w:rsidRPr="0019525E">
        <w:t>Audits</w:t>
      </w:r>
    </w:p>
    <w:p w14:paraId="7BB9468B" w14:textId="77777777" w:rsidR="003809D0" w:rsidRPr="0019525E" w:rsidRDefault="003809D0" w:rsidP="003809D0">
      <w:pPr>
        <w:pStyle w:val="ListParagraph"/>
        <w:numPr>
          <w:ilvl w:val="0"/>
          <w:numId w:val="8"/>
        </w:numPr>
      </w:pPr>
      <w:r w:rsidRPr="0019525E">
        <w:t>Review Delegation Status</w:t>
      </w:r>
    </w:p>
    <w:p w14:paraId="0DD448B2" w14:textId="77777777" w:rsidR="003809D0" w:rsidRDefault="003809D0" w:rsidP="003809D0">
      <w:pPr>
        <w:pStyle w:val="ListParagraph"/>
        <w:numPr>
          <w:ilvl w:val="0"/>
          <w:numId w:val="8"/>
        </w:numPr>
      </w:pPr>
      <w:r w:rsidRPr="0019525E">
        <w:t>Sealant Surveillance</w:t>
      </w:r>
    </w:p>
    <w:p w14:paraId="23F5946E" w14:textId="77777777" w:rsidR="003809D0" w:rsidRPr="0019525E" w:rsidRDefault="003809D0" w:rsidP="003809D0">
      <w:pPr>
        <w:pStyle w:val="ListParagraph"/>
        <w:numPr>
          <w:ilvl w:val="1"/>
          <w:numId w:val="8"/>
        </w:numPr>
      </w:pPr>
      <w:r>
        <w:t>Possibly Supplier Merit Program for Sealant Surveillance (extra hour to closed meeting)</w:t>
      </w:r>
    </w:p>
    <w:p w14:paraId="1F4C098B" w14:textId="77777777" w:rsidR="003809D0" w:rsidRPr="00D24E3D" w:rsidRDefault="003809D0" w:rsidP="003809D0">
      <w:pPr>
        <w:pStyle w:val="ListParagraph"/>
        <w:numPr>
          <w:ilvl w:val="0"/>
          <w:numId w:val="8"/>
        </w:numPr>
      </w:pPr>
      <w:r w:rsidRPr="00D24E3D">
        <w:t>New Business</w:t>
      </w:r>
    </w:p>
    <w:p w14:paraId="4316DB35" w14:textId="77777777" w:rsidR="003809D0" w:rsidRDefault="003809D0" w:rsidP="003809D0">
      <w:pPr>
        <w:pStyle w:val="ListParagraph"/>
        <w:numPr>
          <w:ilvl w:val="0"/>
          <w:numId w:val="8"/>
        </w:numPr>
      </w:pPr>
      <w:r w:rsidRPr="00D24E3D">
        <w:t>Closed Meeting Issues</w:t>
      </w:r>
    </w:p>
    <w:p w14:paraId="267D89DC" w14:textId="0DBB4E8C" w:rsidR="00FA0B5E" w:rsidRDefault="00764BF3" w:rsidP="00DF7654">
      <w:r>
        <w:t xml:space="preserve"> </w:t>
      </w:r>
      <w:r w:rsidR="00C840E9">
        <w:t>ADJOURNMENT – 23-Feb-2016</w:t>
      </w:r>
      <w:r w:rsidR="00FA0B5E">
        <w:t xml:space="preserve"> – Meeting was adjourned at </w:t>
      </w:r>
      <w:r w:rsidR="00C840E9">
        <w:t>3:00</w:t>
      </w:r>
      <w:r w:rsidR="00FA0B5E">
        <w:t xml:space="preserve"> p.m.</w:t>
      </w:r>
    </w:p>
    <w:p w14:paraId="241C4EA8" w14:textId="58BBD2FD" w:rsidR="003809D0" w:rsidRPr="003809D0" w:rsidRDefault="00FA0B5E" w:rsidP="003809D0">
      <w:pPr>
        <w:pStyle w:val="Body"/>
        <w:rPr>
          <w:color w:val="0000FF" w:themeColor="hyperlink"/>
          <w:u w:val="single"/>
        </w:rPr>
      </w:pPr>
      <w:r>
        <w:t xml:space="preserve">Minutes Prepared by: </w:t>
      </w:r>
      <w:r w:rsidR="00684C51">
        <w:t xml:space="preserve">Linda Beene; </w:t>
      </w:r>
      <w:hyperlink r:id="rId19" w:history="1">
        <w:r w:rsidR="00684C51" w:rsidRPr="00E52F1D">
          <w:rPr>
            <w:rStyle w:val="Hyperlink"/>
          </w:rPr>
          <w:t>linda.beene@sbcglobal.net</w:t>
        </w:r>
      </w:hyperlink>
      <w:r w:rsidR="003809D0">
        <w:t xml:space="preserve">, Keith Purnell; </w:t>
      </w:r>
      <w:hyperlink r:id="rId20" w:history="1">
        <w:r w:rsidR="003809D0" w:rsidRPr="003C1FD1">
          <w:rPr>
            <w:rStyle w:val="Hyperlink"/>
          </w:rPr>
          <w:t>kpurnell@p-r-i.org</w:t>
        </w:r>
      </w:hyperlink>
    </w:p>
    <w:p w14:paraId="267D89DF" w14:textId="77777777"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DF7654">
        <w:trPr>
          <w:cantSplit/>
        </w:trPr>
        <w:tc>
          <w:tcPr>
            <w:tcW w:w="9350" w:type="dxa"/>
            <w:gridSpan w:val="3"/>
            <w:shd w:val="clear" w:color="auto" w:fill="F2F2F2" w:themeFill="background1" w:themeFillShade="F2"/>
          </w:tcPr>
          <w:p w14:paraId="267D89E0" w14:textId="77777777" w:rsidR="00272E48" w:rsidRDefault="00272E48" w:rsidP="00DF7654">
            <w:pPr>
              <w:keepNext/>
            </w:pPr>
          </w:p>
          <w:p w14:paraId="267D89E1" w14:textId="77777777" w:rsidR="00272E48" w:rsidRDefault="00272E48" w:rsidP="00DF7654">
            <w:pPr>
              <w:keepNext/>
              <w:jc w:val="center"/>
            </w:pPr>
            <w:r w:rsidRPr="00272E48">
              <w:t>***** For PRI Staff use only: ******</w:t>
            </w:r>
          </w:p>
          <w:p w14:paraId="267D89E2" w14:textId="77777777" w:rsidR="00272E48" w:rsidRDefault="00272E48" w:rsidP="00DF7654">
            <w:pPr>
              <w:keepNext/>
            </w:pPr>
          </w:p>
          <w:p w14:paraId="267D89E3" w14:textId="77777777" w:rsidR="00272E48" w:rsidRDefault="00272E48" w:rsidP="00DF7654">
            <w:pPr>
              <w:keepNext/>
            </w:pPr>
            <w:r w:rsidRPr="00272E48">
              <w:t>Are procedural/form changes required based on changes/actions approved during this meeting? (select one)</w:t>
            </w:r>
          </w:p>
          <w:p w14:paraId="267D89E4" w14:textId="77777777" w:rsidR="00272E48" w:rsidRDefault="00272E48" w:rsidP="00DF7654">
            <w:pPr>
              <w:keepNext/>
            </w:pPr>
          </w:p>
          <w:p w14:paraId="267D89E5" w14:textId="38F80449" w:rsidR="00272E48" w:rsidRDefault="00272E48" w:rsidP="00DF7654">
            <w:pPr>
              <w:keepNext/>
              <w:jc w:val="center"/>
            </w:pPr>
            <w:r w:rsidRPr="00272E48">
              <w:t xml:space="preserve">YES*  </w:t>
            </w:r>
            <w:sdt>
              <w:sdtPr>
                <w:id w:val="-1222288452"/>
                <w14:checkbox>
                  <w14:checked w14:val="1"/>
                  <w14:checkedState w14:val="2612" w14:font="MS Gothic"/>
                  <w14:uncheckedState w14:val="2610" w14:font="MS Gothic"/>
                </w14:checkbox>
              </w:sdtPr>
              <w:sdtEndPr/>
              <w:sdtContent>
                <w:r w:rsidR="00C840E9">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67D89E6" w14:textId="77777777" w:rsidR="00272E48" w:rsidRDefault="00272E48" w:rsidP="00DF7654">
            <w:pPr>
              <w:keepNext/>
            </w:pPr>
          </w:p>
          <w:p w14:paraId="267D89E7" w14:textId="77777777" w:rsidR="00272E48" w:rsidRPr="00272E48" w:rsidRDefault="00272E48" w:rsidP="00DF7654">
            <w:pPr>
              <w:keepNext/>
            </w:pPr>
            <w:r w:rsidRPr="00272E48">
              <w:t>*If yes, the following information is required:</w:t>
            </w:r>
          </w:p>
        </w:tc>
      </w:tr>
      <w:tr w:rsidR="00272E48" w:rsidRPr="00272E48" w14:paraId="267D89EC" w14:textId="77777777" w:rsidTr="00DF7654">
        <w:trPr>
          <w:cantSplit/>
        </w:trPr>
        <w:tc>
          <w:tcPr>
            <w:tcW w:w="3122" w:type="dxa"/>
            <w:shd w:val="clear" w:color="auto" w:fill="F2F2F2" w:themeFill="background1" w:themeFillShade="F2"/>
          </w:tcPr>
          <w:p w14:paraId="267D89E9" w14:textId="77777777" w:rsidR="00272E48" w:rsidRPr="00272E48" w:rsidRDefault="00272E48" w:rsidP="00DF7654">
            <w:pPr>
              <w:keepNext/>
            </w:pPr>
            <w:r w:rsidRPr="00272E48">
              <w:t>Documents requiring revision:</w:t>
            </w:r>
          </w:p>
        </w:tc>
        <w:tc>
          <w:tcPr>
            <w:tcW w:w="3125" w:type="dxa"/>
            <w:shd w:val="clear" w:color="auto" w:fill="F2F2F2" w:themeFill="background1" w:themeFillShade="F2"/>
          </w:tcPr>
          <w:p w14:paraId="267D89EA" w14:textId="77777777" w:rsidR="00272E48" w:rsidRPr="00272E48" w:rsidRDefault="00272E48" w:rsidP="00DF7654">
            <w:pPr>
              <w:keepNext/>
            </w:pPr>
            <w:r w:rsidRPr="00272E48">
              <w:t>Who is responsible:</w:t>
            </w:r>
          </w:p>
        </w:tc>
        <w:tc>
          <w:tcPr>
            <w:tcW w:w="3103" w:type="dxa"/>
            <w:shd w:val="clear" w:color="auto" w:fill="F2F2F2" w:themeFill="background1" w:themeFillShade="F2"/>
          </w:tcPr>
          <w:p w14:paraId="267D89EB" w14:textId="77777777" w:rsidR="00272E48" w:rsidRPr="00272E48" w:rsidRDefault="00272E48" w:rsidP="00DF7654">
            <w:pPr>
              <w:keepNext/>
            </w:pPr>
            <w:r w:rsidRPr="00272E48">
              <w:t>Due date:</w:t>
            </w:r>
          </w:p>
        </w:tc>
      </w:tr>
      <w:tr w:rsidR="00766A11" w:rsidRPr="00272E48" w14:paraId="267D89F0" w14:textId="77777777" w:rsidTr="00DF7654">
        <w:trPr>
          <w:cantSplit/>
        </w:trPr>
        <w:tc>
          <w:tcPr>
            <w:tcW w:w="3122" w:type="dxa"/>
            <w:shd w:val="clear" w:color="auto" w:fill="F2F2F2" w:themeFill="background1" w:themeFillShade="F2"/>
          </w:tcPr>
          <w:p w14:paraId="267D89ED" w14:textId="11EEB7DE" w:rsidR="00766A11" w:rsidRPr="00272E48" w:rsidRDefault="00766A11" w:rsidP="00DF7654">
            <w:pPr>
              <w:keepNext/>
            </w:pPr>
            <w:r>
              <w:t>AC7202</w:t>
            </w:r>
          </w:p>
        </w:tc>
        <w:tc>
          <w:tcPr>
            <w:tcW w:w="3125" w:type="dxa"/>
            <w:shd w:val="clear" w:color="auto" w:fill="F2F2F2" w:themeFill="background1" w:themeFillShade="F2"/>
          </w:tcPr>
          <w:p w14:paraId="267D89EE" w14:textId="0E10766D" w:rsidR="00766A11" w:rsidRPr="00272E48" w:rsidRDefault="00766A11" w:rsidP="00DF7654">
            <w:pPr>
              <w:keepNext/>
            </w:pPr>
            <w:r>
              <w:t>Keith Purnell</w:t>
            </w:r>
          </w:p>
        </w:tc>
        <w:tc>
          <w:tcPr>
            <w:tcW w:w="3103" w:type="dxa"/>
            <w:shd w:val="clear" w:color="auto" w:fill="F2F2F2" w:themeFill="background1" w:themeFillShade="F2"/>
          </w:tcPr>
          <w:p w14:paraId="267D89EF" w14:textId="289BDE9C" w:rsidR="00766A11" w:rsidRPr="00272E48" w:rsidRDefault="00766A11" w:rsidP="00DF7654">
            <w:pPr>
              <w:keepNext/>
            </w:pPr>
            <w:r>
              <w:t>30-Apr-2017</w:t>
            </w:r>
          </w:p>
        </w:tc>
      </w:tr>
      <w:tr w:rsidR="00766A11" w:rsidRPr="00272E48" w14:paraId="267D89F4" w14:textId="77777777" w:rsidTr="00DF7654">
        <w:trPr>
          <w:cantSplit/>
        </w:trPr>
        <w:tc>
          <w:tcPr>
            <w:tcW w:w="3122" w:type="dxa"/>
            <w:shd w:val="clear" w:color="auto" w:fill="F2F2F2" w:themeFill="background1" w:themeFillShade="F2"/>
          </w:tcPr>
          <w:p w14:paraId="267D89F1" w14:textId="7EB7C42F" w:rsidR="00766A11" w:rsidRPr="00272E48" w:rsidRDefault="00766A11" w:rsidP="00DF7654">
            <w:pPr>
              <w:keepNext/>
            </w:pPr>
            <w:r>
              <w:t>AC7200/1</w:t>
            </w:r>
          </w:p>
        </w:tc>
        <w:tc>
          <w:tcPr>
            <w:tcW w:w="3125" w:type="dxa"/>
            <w:shd w:val="clear" w:color="auto" w:fill="F2F2F2" w:themeFill="background1" w:themeFillShade="F2"/>
          </w:tcPr>
          <w:p w14:paraId="267D89F2" w14:textId="6AEE4425" w:rsidR="00766A11" w:rsidRPr="00272E48" w:rsidRDefault="00766A11" w:rsidP="00DF7654">
            <w:pPr>
              <w:keepNext/>
            </w:pPr>
            <w:r>
              <w:t>Keith Purnell</w:t>
            </w:r>
          </w:p>
        </w:tc>
        <w:tc>
          <w:tcPr>
            <w:tcW w:w="3103" w:type="dxa"/>
            <w:shd w:val="clear" w:color="auto" w:fill="F2F2F2" w:themeFill="background1" w:themeFillShade="F2"/>
          </w:tcPr>
          <w:p w14:paraId="267D89F3" w14:textId="51B9300F" w:rsidR="00766A11" w:rsidRPr="00272E48" w:rsidRDefault="00766A11" w:rsidP="00DF7654">
            <w:pPr>
              <w:keepNext/>
            </w:pPr>
            <w:r>
              <w:t>30-Apr-2017</w:t>
            </w:r>
          </w:p>
        </w:tc>
      </w:tr>
    </w:tbl>
    <w:p w14:paraId="267D89F5" w14:textId="77777777" w:rsidR="00FA0B5E" w:rsidRDefault="00FA0B5E" w:rsidP="00FA0B5E"/>
    <w:sectPr w:rsidR="00FA0B5E" w:rsidSect="00866C8D">
      <w:headerReference w:type="even" r:id="rId21"/>
      <w:headerReference w:type="default" r:id="rId22"/>
      <w:headerReference w:type="firs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461DA" w14:textId="77777777" w:rsidR="00606D6A" w:rsidRDefault="00606D6A" w:rsidP="00FC3F1E">
      <w:pPr>
        <w:spacing w:after="0"/>
      </w:pPr>
      <w:r>
        <w:separator/>
      </w:r>
    </w:p>
  </w:endnote>
  <w:endnote w:type="continuationSeparator" w:id="0">
    <w:p w14:paraId="24C45C4B" w14:textId="77777777" w:rsidR="00606D6A" w:rsidRDefault="00606D6A"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CEE6E" w14:textId="77777777" w:rsidR="00606D6A" w:rsidRDefault="00606D6A" w:rsidP="00FC3F1E">
      <w:pPr>
        <w:spacing w:after="0"/>
      </w:pPr>
      <w:r>
        <w:separator/>
      </w:r>
    </w:p>
  </w:footnote>
  <w:footnote w:type="continuationSeparator" w:id="0">
    <w:p w14:paraId="565C4713" w14:textId="77777777" w:rsidR="00606D6A" w:rsidRDefault="00606D6A"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37468E" w:rsidRDefault="00F4265A">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863115" o:spid="_x0000_s2050" type="#_x0000_t136" style="position:absolute;left:0;text-align:left;margin-left:0;margin-top:0;width:571.8pt;height:87.95pt;rotation:315;z-index:-25165516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34D7C3C6" w:rsidR="0037468E" w:rsidRDefault="0037468E">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F4265A">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863116" o:spid="_x0000_s2051" type="#_x0000_t136" style="position:absolute;left:0;text-align:left;margin-left:0;margin-top:0;width:571.8pt;height:87.95pt;rotation:315;z-index:-25165312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Pr>
        <w:noProof/>
      </w:rPr>
      <w:t>SEALANT</w:t>
    </w:r>
  </w:p>
  <w:p w14:paraId="267D8A04" w14:textId="2D220E85" w:rsidR="0037468E" w:rsidRDefault="0037468E">
    <w:pPr>
      <w:pStyle w:val="Header"/>
    </w:pPr>
    <w:r>
      <w:t>FEBRUARY 2017</w:t>
    </w:r>
  </w:p>
  <w:p w14:paraId="267D8A05" w14:textId="54D36ED9" w:rsidR="0037468E" w:rsidRDefault="0037468E">
    <w:pPr>
      <w:pStyle w:val="Header"/>
    </w:pPr>
    <w:r>
      <w:t>UNCONFIRMED</w:t>
    </w:r>
  </w:p>
  <w:p w14:paraId="267D8A06" w14:textId="77777777" w:rsidR="0037468E" w:rsidRDefault="00374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37468E" w:rsidRDefault="00F4265A">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863114" o:spid="_x0000_s2049" type="#_x0000_t136" style="position:absolute;left:0;text-align:left;margin-left:0;margin-top:0;width:571.8pt;height:87.95pt;rotation:315;z-index:-25165721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73ECB688"/>
    <w:lvl w:ilvl="0">
      <w:start w:val="15"/>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 w15:restartNumberingAfterBreak="0">
    <w:nsid w:val="3EDF393F"/>
    <w:multiLevelType w:val="hybridMultilevel"/>
    <w:tmpl w:val="E0141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83A6E46"/>
    <w:multiLevelType w:val="hybridMultilevel"/>
    <w:tmpl w:val="7DA8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182CA3"/>
    <w:multiLevelType w:val="hybridMultilevel"/>
    <w:tmpl w:val="54FA5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27ECC"/>
    <w:multiLevelType w:val="hybridMultilevel"/>
    <w:tmpl w:val="67A0F1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4D0841"/>
    <w:multiLevelType w:val="hybridMultilevel"/>
    <w:tmpl w:val="8980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1640EB"/>
    <w:multiLevelType w:val="hybridMultilevel"/>
    <w:tmpl w:val="56EAC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5"/>
  </w:num>
  <w:num w:numId="6">
    <w:abstractNumId w:val="2"/>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21222"/>
    <w:rsid w:val="00021C50"/>
    <w:rsid w:val="00053692"/>
    <w:rsid w:val="00066096"/>
    <w:rsid w:val="0006663C"/>
    <w:rsid w:val="000726D5"/>
    <w:rsid w:val="000855F6"/>
    <w:rsid w:val="000A56D9"/>
    <w:rsid w:val="000B6729"/>
    <w:rsid w:val="000D046A"/>
    <w:rsid w:val="0010782D"/>
    <w:rsid w:val="00111291"/>
    <w:rsid w:val="00114717"/>
    <w:rsid w:val="0012238B"/>
    <w:rsid w:val="00193756"/>
    <w:rsid w:val="001A1215"/>
    <w:rsid w:val="001A5F08"/>
    <w:rsid w:val="00211065"/>
    <w:rsid w:val="00213551"/>
    <w:rsid w:val="00217DB7"/>
    <w:rsid w:val="002266B7"/>
    <w:rsid w:val="00231248"/>
    <w:rsid w:val="002529C7"/>
    <w:rsid w:val="00263DDC"/>
    <w:rsid w:val="00272E21"/>
    <w:rsid w:val="00272E48"/>
    <w:rsid w:val="00284747"/>
    <w:rsid w:val="00296D92"/>
    <w:rsid w:val="002C7DB3"/>
    <w:rsid w:val="002E27EE"/>
    <w:rsid w:val="002E37DC"/>
    <w:rsid w:val="00320B2D"/>
    <w:rsid w:val="00354EF8"/>
    <w:rsid w:val="0037468E"/>
    <w:rsid w:val="003809D0"/>
    <w:rsid w:val="00380B46"/>
    <w:rsid w:val="00381896"/>
    <w:rsid w:val="0038743B"/>
    <w:rsid w:val="003959B0"/>
    <w:rsid w:val="003B5FCD"/>
    <w:rsid w:val="003C286C"/>
    <w:rsid w:val="003F711A"/>
    <w:rsid w:val="004139E2"/>
    <w:rsid w:val="00417309"/>
    <w:rsid w:val="004177C5"/>
    <w:rsid w:val="00422BB3"/>
    <w:rsid w:val="00447A27"/>
    <w:rsid w:val="004544BE"/>
    <w:rsid w:val="004A0807"/>
    <w:rsid w:val="004B0208"/>
    <w:rsid w:val="004D2E91"/>
    <w:rsid w:val="004D4643"/>
    <w:rsid w:val="004D675F"/>
    <w:rsid w:val="004E5933"/>
    <w:rsid w:val="004F1E64"/>
    <w:rsid w:val="004F4664"/>
    <w:rsid w:val="00506EE2"/>
    <w:rsid w:val="00515691"/>
    <w:rsid w:val="00516CBC"/>
    <w:rsid w:val="0051778E"/>
    <w:rsid w:val="00521BF1"/>
    <w:rsid w:val="00532D21"/>
    <w:rsid w:val="005474BF"/>
    <w:rsid w:val="00547DD6"/>
    <w:rsid w:val="00563D46"/>
    <w:rsid w:val="00574A5B"/>
    <w:rsid w:val="005E4CE6"/>
    <w:rsid w:val="005E682E"/>
    <w:rsid w:val="00600592"/>
    <w:rsid w:val="00605123"/>
    <w:rsid w:val="00606D6A"/>
    <w:rsid w:val="006227ED"/>
    <w:rsid w:val="006265F6"/>
    <w:rsid w:val="006313C1"/>
    <w:rsid w:val="0064222A"/>
    <w:rsid w:val="006427E5"/>
    <w:rsid w:val="00644108"/>
    <w:rsid w:val="00657624"/>
    <w:rsid w:val="00684C51"/>
    <w:rsid w:val="00687881"/>
    <w:rsid w:val="00693DCF"/>
    <w:rsid w:val="006D65A3"/>
    <w:rsid w:val="00702E1A"/>
    <w:rsid w:val="0071285D"/>
    <w:rsid w:val="0072739C"/>
    <w:rsid w:val="00733095"/>
    <w:rsid w:val="00735A12"/>
    <w:rsid w:val="0075218E"/>
    <w:rsid w:val="00754968"/>
    <w:rsid w:val="00764BF3"/>
    <w:rsid w:val="00766A11"/>
    <w:rsid w:val="007672A6"/>
    <w:rsid w:val="0079562D"/>
    <w:rsid w:val="007C305A"/>
    <w:rsid w:val="007C70BA"/>
    <w:rsid w:val="007D7046"/>
    <w:rsid w:val="007F3354"/>
    <w:rsid w:val="007F6D44"/>
    <w:rsid w:val="007F7E08"/>
    <w:rsid w:val="008430DA"/>
    <w:rsid w:val="00855DCD"/>
    <w:rsid w:val="00862658"/>
    <w:rsid w:val="00866C8D"/>
    <w:rsid w:val="008764F0"/>
    <w:rsid w:val="008800D6"/>
    <w:rsid w:val="008901BB"/>
    <w:rsid w:val="008A4E46"/>
    <w:rsid w:val="008C5479"/>
    <w:rsid w:val="008C5B00"/>
    <w:rsid w:val="008F3CB5"/>
    <w:rsid w:val="008F72FA"/>
    <w:rsid w:val="009143BE"/>
    <w:rsid w:val="009177E0"/>
    <w:rsid w:val="009465EA"/>
    <w:rsid w:val="00953456"/>
    <w:rsid w:val="009561B3"/>
    <w:rsid w:val="009611DD"/>
    <w:rsid w:val="00984EBC"/>
    <w:rsid w:val="00992272"/>
    <w:rsid w:val="009B41FB"/>
    <w:rsid w:val="009D07EC"/>
    <w:rsid w:val="009D245F"/>
    <w:rsid w:val="009E70EB"/>
    <w:rsid w:val="009E7510"/>
    <w:rsid w:val="009F7595"/>
    <w:rsid w:val="00A01EEA"/>
    <w:rsid w:val="00A345F8"/>
    <w:rsid w:val="00A37341"/>
    <w:rsid w:val="00A503FF"/>
    <w:rsid w:val="00A50B8E"/>
    <w:rsid w:val="00A82B3C"/>
    <w:rsid w:val="00AB141D"/>
    <w:rsid w:val="00B2627B"/>
    <w:rsid w:val="00B40532"/>
    <w:rsid w:val="00B5590E"/>
    <w:rsid w:val="00B5745C"/>
    <w:rsid w:val="00B84CDA"/>
    <w:rsid w:val="00BD2890"/>
    <w:rsid w:val="00BE288D"/>
    <w:rsid w:val="00BE709F"/>
    <w:rsid w:val="00C10ADD"/>
    <w:rsid w:val="00C37618"/>
    <w:rsid w:val="00C5364E"/>
    <w:rsid w:val="00C576C6"/>
    <w:rsid w:val="00C72A57"/>
    <w:rsid w:val="00C7478F"/>
    <w:rsid w:val="00C74DD7"/>
    <w:rsid w:val="00C840E9"/>
    <w:rsid w:val="00C86901"/>
    <w:rsid w:val="00CC4718"/>
    <w:rsid w:val="00CE4568"/>
    <w:rsid w:val="00CF6A99"/>
    <w:rsid w:val="00D22DCE"/>
    <w:rsid w:val="00D32300"/>
    <w:rsid w:val="00D33894"/>
    <w:rsid w:val="00D71473"/>
    <w:rsid w:val="00DF00D7"/>
    <w:rsid w:val="00DF7654"/>
    <w:rsid w:val="00E039B7"/>
    <w:rsid w:val="00E42E1F"/>
    <w:rsid w:val="00E51455"/>
    <w:rsid w:val="00E7248F"/>
    <w:rsid w:val="00E72AE0"/>
    <w:rsid w:val="00E74B93"/>
    <w:rsid w:val="00E7563D"/>
    <w:rsid w:val="00E83F26"/>
    <w:rsid w:val="00E91C46"/>
    <w:rsid w:val="00EB68F7"/>
    <w:rsid w:val="00F0049A"/>
    <w:rsid w:val="00F05558"/>
    <w:rsid w:val="00F30A06"/>
    <w:rsid w:val="00F4265A"/>
    <w:rsid w:val="00F44C9E"/>
    <w:rsid w:val="00F47BCE"/>
    <w:rsid w:val="00F76453"/>
    <w:rsid w:val="00F85D1E"/>
    <w:rsid w:val="00FA0B5E"/>
    <w:rsid w:val="00FA2968"/>
    <w:rsid w:val="00FB23C6"/>
    <w:rsid w:val="00FC3F1E"/>
    <w:rsid w:val="00FD784A"/>
    <w:rsid w:val="00FD7AA0"/>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3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paragraph" w:customStyle="1" w:styleId="Sub-Topic">
    <w:name w:val="Sub-Topic"/>
    <w:basedOn w:val="Normal"/>
    <w:qFormat/>
    <w:rsid w:val="00FD7AA0"/>
    <w:pPr>
      <w:numPr>
        <w:ilvl w:val="2"/>
        <w:numId w:val="4"/>
      </w:numPr>
      <w:spacing w:before="60" w:after="0"/>
    </w:pPr>
    <w:rPr>
      <w:rFonts w:eastAsia="Times New Roman" w:cs="Arial"/>
      <w:sz w:val="16"/>
      <w:szCs w:val="16"/>
    </w:rPr>
  </w:style>
  <w:style w:type="paragraph" w:customStyle="1" w:styleId="Topic">
    <w:name w:val="Topic"/>
    <w:basedOn w:val="Normal"/>
    <w:link w:val="TopicChar"/>
    <w:qFormat/>
    <w:rsid w:val="00FD7AA0"/>
    <w:pPr>
      <w:numPr>
        <w:numId w:val="4"/>
      </w:numPr>
      <w:spacing w:before="60" w:after="0"/>
    </w:pPr>
    <w:rPr>
      <w:rFonts w:eastAsia="Times New Roman" w:cs="Times New Roman"/>
      <w:b/>
      <w:sz w:val="16"/>
      <w:szCs w:val="16"/>
    </w:rPr>
  </w:style>
  <w:style w:type="paragraph" w:customStyle="1" w:styleId="Topicdetail">
    <w:name w:val="Topic detail"/>
    <w:basedOn w:val="Topic"/>
    <w:link w:val="TopicdetailChar"/>
    <w:qFormat/>
    <w:rsid w:val="00FD7AA0"/>
    <w:pPr>
      <w:numPr>
        <w:ilvl w:val="1"/>
      </w:numPr>
      <w:tabs>
        <w:tab w:val="num" w:pos="360"/>
      </w:tabs>
    </w:pPr>
    <w:rPr>
      <w:b w:val="0"/>
    </w:rPr>
  </w:style>
  <w:style w:type="character" w:customStyle="1" w:styleId="TopicdetailChar">
    <w:name w:val="Topic detail Char"/>
    <w:basedOn w:val="DefaultParagraphFont"/>
    <w:link w:val="Topicdetail"/>
    <w:rsid w:val="00FD7AA0"/>
    <w:rPr>
      <w:rFonts w:ascii="Arial" w:eastAsia="Times New Roman" w:hAnsi="Arial" w:cs="Times New Roman"/>
      <w:sz w:val="16"/>
      <w:szCs w:val="16"/>
    </w:rPr>
  </w:style>
  <w:style w:type="character" w:customStyle="1" w:styleId="TopicChar">
    <w:name w:val="Topic Char"/>
    <w:basedOn w:val="DefaultParagraphFont"/>
    <w:link w:val="Topic"/>
    <w:rsid w:val="00FD7AA0"/>
    <w:rPr>
      <w:rFonts w:ascii="Arial" w:eastAsia="Times New Roman" w:hAnsi="Arial" w:cs="Times New Roman"/>
      <w:b/>
      <w:sz w:val="16"/>
      <w:szCs w:val="16"/>
    </w:rPr>
  </w:style>
  <w:style w:type="paragraph" w:customStyle="1" w:styleId="Sub-TopicDetail">
    <w:name w:val="Sub-Topic Detail"/>
    <w:basedOn w:val="Sub-Topic"/>
    <w:qFormat/>
    <w:rsid w:val="00FD7AA0"/>
    <w:pPr>
      <w:numPr>
        <w:ilvl w:val="3"/>
      </w:numPr>
    </w:pPr>
  </w:style>
  <w:style w:type="character" w:styleId="CommentReference">
    <w:name w:val="annotation reference"/>
    <w:basedOn w:val="DefaultParagraphFont"/>
    <w:uiPriority w:val="99"/>
    <w:semiHidden/>
    <w:unhideWhenUsed/>
    <w:rsid w:val="003959B0"/>
    <w:rPr>
      <w:sz w:val="16"/>
      <w:szCs w:val="16"/>
    </w:rPr>
  </w:style>
  <w:style w:type="character" w:customStyle="1" w:styleId="Mention1">
    <w:name w:val="Mention1"/>
    <w:basedOn w:val="DefaultParagraphFont"/>
    <w:uiPriority w:val="99"/>
    <w:semiHidden/>
    <w:unhideWhenUsed/>
    <w:rsid w:val="00684C51"/>
    <w:rPr>
      <w:color w:val="2B579A"/>
      <w:shd w:val="clear" w:color="auto" w:fill="E6E6E6"/>
    </w:rPr>
  </w:style>
  <w:style w:type="paragraph" w:styleId="CommentText">
    <w:name w:val="annotation text"/>
    <w:basedOn w:val="Normal"/>
    <w:link w:val="CommentTextChar"/>
    <w:uiPriority w:val="99"/>
    <w:semiHidden/>
    <w:unhideWhenUsed/>
    <w:rsid w:val="00296D92"/>
    <w:rPr>
      <w:szCs w:val="20"/>
    </w:rPr>
  </w:style>
  <w:style w:type="character" w:customStyle="1" w:styleId="CommentTextChar">
    <w:name w:val="Comment Text Char"/>
    <w:basedOn w:val="DefaultParagraphFont"/>
    <w:link w:val="CommentText"/>
    <w:uiPriority w:val="99"/>
    <w:semiHidden/>
    <w:rsid w:val="00296D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6D92"/>
    <w:rPr>
      <w:b/>
      <w:bCs/>
    </w:rPr>
  </w:style>
  <w:style w:type="character" w:customStyle="1" w:styleId="CommentSubjectChar">
    <w:name w:val="Comment Subject Char"/>
    <w:basedOn w:val="CommentTextChar"/>
    <w:link w:val="CommentSubject"/>
    <w:uiPriority w:val="99"/>
    <w:semiHidden/>
    <w:rsid w:val="00296D9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eAuditNet.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www.eAuditNe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mailto:kpurnell@p-r-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linda.beene@sbcglobal.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44CB44-C53A-450D-B0EE-522C491A001A}">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04E3EA87-E306-40B3-80E7-ACEA8ECC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Keith Purnell</cp:lastModifiedBy>
  <cp:revision>4</cp:revision>
  <cp:lastPrinted>2017-03-14T14:46:00Z</cp:lastPrinted>
  <dcterms:created xsi:type="dcterms:W3CDTF">2017-03-15T00:44:00Z</dcterms:created>
  <dcterms:modified xsi:type="dcterms:W3CDTF">2017-03-15T00:58:00Z</dcterms:modified>
</cp:coreProperties>
</file>