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F8" w:rsidRPr="00FC3F1E" w:rsidRDefault="006C1AD6" w:rsidP="007E27F8">
      <w:pPr>
        <w:spacing w:after="0"/>
        <w:jc w:val="center"/>
        <w:rPr>
          <w:b/>
        </w:rPr>
      </w:pPr>
      <w:r>
        <w:rPr>
          <w:b/>
        </w:rPr>
        <w:t xml:space="preserve">CONFIRMED </w:t>
      </w:r>
      <w:r w:rsidR="003434D4" w:rsidRPr="003434D4">
        <w:rPr>
          <w:b/>
        </w:rPr>
        <w:t xml:space="preserve">CHEMICAL PROCESSING – SUPPLIER ACTION TEAM </w:t>
      </w:r>
      <w:r w:rsidR="00BB6EFD">
        <w:rPr>
          <w:b/>
        </w:rPr>
        <w:t>MINUTES</w:t>
      </w:r>
    </w:p>
    <w:p w:rsidR="007E27F8" w:rsidRPr="00FC3F1E" w:rsidRDefault="00B32583" w:rsidP="007E27F8">
      <w:pPr>
        <w:spacing w:after="0"/>
        <w:jc w:val="center"/>
        <w:rPr>
          <w:b/>
        </w:rPr>
      </w:pPr>
      <w:r>
        <w:rPr>
          <w:b/>
        </w:rPr>
        <w:t>2</w:t>
      </w:r>
      <w:r w:rsidR="00744344">
        <w:rPr>
          <w:b/>
        </w:rPr>
        <w:t>6</w:t>
      </w:r>
      <w:r w:rsidR="009D2045">
        <w:rPr>
          <w:b/>
        </w:rPr>
        <w:t>-Oct-</w:t>
      </w:r>
      <w:r>
        <w:rPr>
          <w:b/>
        </w:rPr>
        <w:t>2016</w:t>
      </w:r>
    </w:p>
    <w:p w:rsidR="007E27F8" w:rsidRDefault="00744344" w:rsidP="007E27F8">
      <w:pPr>
        <w:jc w:val="center"/>
        <w:rPr>
          <w:b/>
        </w:rPr>
      </w:pPr>
      <w:r>
        <w:rPr>
          <w:b/>
        </w:rPr>
        <w:t>PITTSBURGH, USA</w:t>
      </w:r>
    </w:p>
    <w:p w:rsidR="00246D41" w:rsidRPr="00EC2058" w:rsidRDefault="00246D41" w:rsidP="007E27F8">
      <w:pPr>
        <w:rPr>
          <w:b/>
        </w:rPr>
      </w:pPr>
      <w:r w:rsidRPr="00FC3F1E">
        <w:rPr>
          <w:b/>
        </w:rPr>
        <w:t xml:space="preserve">These minutes are not final until confirmed by the </w:t>
      </w:r>
      <w:r>
        <w:rPr>
          <w:b/>
        </w:rPr>
        <w:t>CP-SAT</w:t>
      </w:r>
      <w:r w:rsidRPr="00FC3F1E">
        <w:rPr>
          <w:b/>
        </w:rPr>
        <w:t xml:space="preserve"> in writing or by vote at a subsequent meeting. Information herein does not constitute a communication or recommendation from the </w:t>
      </w:r>
      <w:r>
        <w:rPr>
          <w:b/>
        </w:rPr>
        <w:t>CP-SAT</w:t>
      </w:r>
      <w:r w:rsidRPr="00FC3F1E">
        <w:rPr>
          <w:b/>
        </w:rPr>
        <w:t xml:space="preserve"> and shall not be considered as such by any agency</w:t>
      </w:r>
      <w:r w:rsidR="006520BF">
        <w:rPr>
          <w:b/>
        </w:rPr>
        <w:t>.</w:t>
      </w:r>
    </w:p>
    <w:p w:rsidR="00FA0B5E" w:rsidRPr="00EC2058" w:rsidRDefault="00BF707F" w:rsidP="00FA0B5E">
      <w:pPr>
        <w:rPr>
          <w:b/>
          <w:u w:val="single"/>
        </w:rPr>
      </w:pPr>
      <w:r>
        <w:rPr>
          <w:b/>
          <w:u w:val="single"/>
        </w:rPr>
        <w:t>WEDNES</w:t>
      </w:r>
      <w:r w:rsidR="00F12099" w:rsidRPr="00EC2058">
        <w:rPr>
          <w:b/>
          <w:u w:val="single"/>
        </w:rPr>
        <w:t>DAY</w:t>
      </w:r>
      <w:r w:rsidR="00FA0B5E" w:rsidRPr="00EC2058">
        <w:rPr>
          <w:b/>
          <w:u w:val="single"/>
        </w:rPr>
        <w:t>,</w:t>
      </w:r>
      <w:r w:rsidR="00FE7F50">
        <w:rPr>
          <w:b/>
          <w:u w:val="single"/>
        </w:rPr>
        <w:t xml:space="preserve"> </w:t>
      </w:r>
      <w:r w:rsidR="00744344">
        <w:rPr>
          <w:b/>
          <w:u w:val="single"/>
        </w:rPr>
        <w:t>OCTOBER</w:t>
      </w:r>
      <w:r w:rsidR="00BA3ECE">
        <w:rPr>
          <w:b/>
          <w:u w:val="single"/>
        </w:rPr>
        <w:t xml:space="preserve"> 2</w:t>
      </w:r>
      <w:r w:rsidR="00744344">
        <w:rPr>
          <w:b/>
          <w:u w:val="single"/>
        </w:rPr>
        <w:t>6</w:t>
      </w:r>
    </w:p>
    <w:p w:rsidR="00FA0B5E" w:rsidRPr="00EC2058" w:rsidRDefault="00FA0B5E" w:rsidP="00BD1A64">
      <w:pPr>
        <w:pStyle w:val="Heading1"/>
        <w:tabs>
          <w:tab w:val="clear" w:pos="990"/>
        </w:tabs>
      </w:pPr>
      <w:r w:rsidRPr="00EC2058">
        <w:t>OPENING COMMENTS</w:t>
      </w:r>
    </w:p>
    <w:p w:rsidR="00FA0B5E" w:rsidRPr="00EC2058" w:rsidRDefault="00FA0B5E" w:rsidP="00E41AA2">
      <w:pPr>
        <w:pStyle w:val="Heading2"/>
        <w:numPr>
          <w:ilvl w:val="0"/>
          <w:numId w:val="0"/>
        </w:numPr>
        <w:tabs>
          <w:tab w:val="left" w:pos="7117"/>
        </w:tabs>
        <w:ind w:left="709"/>
      </w:pPr>
      <w:r w:rsidRPr="00EC2058">
        <w:t xml:space="preserve">Call to Order </w:t>
      </w:r>
      <w:r w:rsidR="00CB4442">
        <w:tab/>
      </w:r>
    </w:p>
    <w:p w:rsidR="00CE1393" w:rsidRDefault="00CE1393" w:rsidP="00FA0B5E">
      <w:pPr>
        <w:pStyle w:val="Body"/>
      </w:pPr>
      <w:r>
        <w:t>The Chemical Processing Supplier Action Team (CP-SAT) meeting was c</w:t>
      </w:r>
      <w:r w:rsidRPr="00EC2058">
        <w:t>all</w:t>
      </w:r>
      <w:r>
        <w:t>ed to o</w:t>
      </w:r>
      <w:r w:rsidRPr="00EC2058">
        <w:t>rder</w:t>
      </w:r>
      <w:r>
        <w:t xml:space="preserve"> at </w:t>
      </w:r>
      <w:r w:rsidR="00BA3ECE">
        <w:t>3</w:t>
      </w:r>
      <w:r w:rsidR="000D52D3">
        <w:t>:</w:t>
      </w:r>
      <w:r w:rsidR="00744344">
        <w:t>0</w:t>
      </w:r>
      <w:r w:rsidR="000D52D3">
        <w:t>0</w:t>
      </w:r>
      <w:r>
        <w:t xml:space="preserve">p.m., on </w:t>
      </w:r>
      <w:r w:rsidR="00BA3ECE">
        <w:t>2</w:t>
      </w:r>
      <w:r w:rsidR="00744344">
        <w:t>6</w:t>
      </w:r>
      <w:r w:rsidR="00BA3ECE">
        <w:t>-</w:t>
      </w:r>
      <w:r w:rsidR="00744344">
        <w:t>Oct</w:t>
      </w:r>
      <w:r w:rsidR="00B32583">
        <w:t>-2016</w:t>
      </w:r>
      <w:r>
        <w:t xml:space="preserve">.  </w:t>
      </w:r>
      <w:r w:rsidRPr="00EC2058">
        <w:t xml:space="preserve"> </w:t>
      </w:r>
    </w:p>
    <w:p w:rsidR="006C1AD6" w:rsidRDefault="006C1AD6" w:rsidP="00FA0B5E">
      <w:pPr>
        <w:pStyle w:val="Body"/>
      </w:pPr>
      <w:r>
        <w:t>It was verified that only Supplier Members and Performance Review Institute (PRI) Staff were in attendance during the meeting.</w:t>
      </w:r>
    </w:p>
    <w:p w:rsidR="00BF707F" w:rsidRDefault="00BF707F" w:rsidP="00FA0B5E">
      <w:pPr>
        <w:pStyle w:val="Body"/>
      </w:pPr>
      <w:r>
        <w:t xml:space="preserve">Routing of </w:t>
      </w:r>
      <w:r w:rsidR="004C63B8">
        <w:t>attendance</w:t>
      </w:r>
      <w:r>
        <w:t xml:space="preserve"> list </w:t>
      </w:r>
    </w:p>
    <w:p w:rsidR="00BF707F" w:rsidRDefault="00BF707F" w:rsidP="00FA0B5E">
      <w:pPr>
        <w:pStyle w:val="Body"/>
      </w:pPr>
      <w:r>
        <w:t>Introductions</w:t>
      </w:r>
    </w:p>
    <w:p w:rsidR="0079103B" w:rsidRPr="000F7D47" w:rsidRDefault="0079103B" w:rsidP="0079103B">
      <w:pPr>
        <w:keepNext/>
        <w:spacing w:before="200"/>
        <w:ind w:left="720"/>
        <w:rPr>
          <w:rFonts w:eastAsia="Calibri"/>
          <w:b/>
          <w:i/>
          <w:u w:val="single"/>
        </w:rPr>
      </w:pPr>
      <w:r w:rsidRPr="000F7D47">
        <w:rPr>
          <w:rFonts w:eastAsia="Calibri"/>
          <w:b/>
          <w:i/>
          <w:u w:val="single"/>
        </w:rPr>
        <w:t>Members/Participants Present (* Indicates Voting Member)</w:t>
      </w:r>
    </w:p>
    <w:tbl>
      <w:tblPr>
        <w:tblStyle w:val="TableGrid1"/>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638"/>
        <w:gridCol w:w="1980"/>
        <w:gridCol w:w="3960"/>
        <w:gridCol w:w="2430"/>
      </w:tblGrid>
      <w:tr w:rsidR="004C157A" w:rsidRPr="000F7D47" w:rsidDel="00130B2A" w:rsidTr="005D26B5">
        <w:tc>
          <w:tcPr>
            <w:tcW w:w="295" w:type="dxa"/>
          </w:tcPr>
          <w:p w:rsidR="004C157A" w:rsidRPr="000F7D47" w:rsidDel="00130B2A" w:rsidRDefault="004C157A" w:rsidP="000233B6">
            <w:pPr>
              <w:contextualSpacing/>
            </w:pPr>
            <w:bookmarkStart w:id="0" w:name="_GoBack"/>
            <w:bookmarkEnd w:id="0"/>
          </w:p>
        </w:tc>
        <w:tc>
          <w:tcPr>
            <w:tcW w:w="1638" w:type="dxa"/>
          </w:tcPr>
          <w:p w:rsidR="004C157A" w:rsidRPr="000F7D47" w:rsidDel="00130B2A" w:rsidRDefault="004C157A" w:rsidP="000233B6">
            <w:pPr>
              <w:contextualSpacing/>
            </w:pPr>
            <w:r w:rsidRPr="000F7D47" w:rsidDel="00130B2A">
              <w:t>NAME</w:t>
            </w:r>
          </w:p>
        </w:tc>
        <w:tc>
          <w:tcPr>
            <w:tcW w:w="1980" w:type="dxa"/>
          </w:tcPr>
          <w:p w:rsidR="004C157A" w:rsidRPr="000F7D47" w:rsidDel="00130B2A" w:rsidRDefault="004C157A" w:rsidP="000233B6">
            <w:pPr>
              <w:contextualSpacing/>
            </w:pPr>
          </w:p>
        </w:tc>
        <w:tc>
          <w:tcPr>
            <w:tcW w:w="3960" w:type="dxa"/>
          </w:tcPr>
          <w:p w:rsidR="004C157A" w:rsidRPr="000F7D47" w:rsidDel="00130B2A" w:rsidRDefault="004C157A" w:rsidP="000233B6">
            <w:pPr>
              <w:contextualSpacing/>
            </w:pPr>
            <w:r w:rsidRPr="000F7D47" w:rsidDel="00130B2A">
              <w:t>COMPANY NAME</w:t>
            </w:r>
          </w:p>
        </w:tc>
        <w:tc>
          <w:tcPr>
            <w:tcW w:w="2430" w:type="dxa"/>
          </w:tcPr>
          <w:p w:rsidR="004C157A" w:rsidRPr="000F7D47" w:rsidDel="00130B2A" w:rsidRDefault="004C157A" w:rsidP="000233B6">
            <w:pPr>
              <w:contextualSpacing/>
            </w:pPr>
          </w:p>
        </w:tc>
      </w:tr>
      <w:tr w:rsidR="004C157A" w:rsidRPr="000F7D47" w:rsidDel="00130B2A" w:rsidTr="005D26B5">
        <w:tc>
          <w:tcPr>
            <w:tcW w:w="295" w:type="dxa"/>
          </w:tcPr>
          <w:p w:rsidR="004C157A" w:rsidRPr="000F7D47" w:rsidDel="00130B2A" w:rsidRDefault="004C157A" w:rsidP="000233B6">
            <w:pPr>
              <w:contextualSpacing/>
            </w:pPr>
          </w:p>
        </w:tc>
        <w:tc>
          <w:tcPr>
            <w:tcW w:w="1638" w:type="dxa"/>
          </w:tcPr>
          <w:p w:rsidR="004C157A" w:rsidDel="00130B2A" w:rsidRDefault="004C157A" w:rsidP="000233B6">
            <w:pPr>
              <w:contextualSpacing/>
            </w:pPr>
          </w:p>
        </w:tc>
        <w:tc>
          <w:tcPr>
            <w:tcW w:w="1980" w:type="dxa"/>
          </w:tcPr>
          <w:p w:rsidR="004C157A" w:rsidDel="00130B2A" w:rsidRDefault="004C157A" w:rsidP="000233B6">
            <w:pPr>
              <w:contextualSpacing/>
            </w:pPr>
          </w:p>
        </w:tc>
        <w:tc>
          <w:tcPr>
            <w:tcW w:w="3960" w:type="dxa"/>
          </w:tcPr>
          <w:p w:rsidR="004C157A" w:rsidDel="00130B2A" w:rsidRDefault="004C157A" w:rsidP="000233B6">
            <w:pPr>
              <w:contextualSpacing/>
            </w:pPr>
          </w:p>
        </w:tc>
        <w:tc>
          <w:tcPr>
            <w:tcW w:w="2430" w:type="dxa"/>
          </w:tcPr>
          <w:p w:rsidR="004C157A" w:rsidRPr="000F7D47" w:rsidDel="00130B2A" w:rsidRDefault="004C157A" w:rsidP="000233B6">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Matthew</w:t>
            </w:r>
          </w:p>
        </w:tc>
        <w:tc>
          <w:tcPr>
            <w:tcW w:w="1980" w:type="dxa"/>
          </w:tcPr>
          <w:p w:rsidR="00594623" w:rsidDel="00130B2A" w:rsidRDefault="00594623" w:rsidP="00594623">
            <w:pPr>
              <w:contextualSpacing/>
            </w:pPr>
            <w:r w:rsidRPr="00E7502A">
              <w:t>Akin</w:t>
            </w:r>
          </w:p>
        </w:tc>
        <w:tc>
          <w:tcPr>
            <w:tcW w:w="3960" w:type="dxa"/>
          </w:tcPr>
          <w:p w:rsidR="00594623" w:rsidDel="00130B2A" w:rsidRDefault="00594623" w:rsidP="00594623">
            <w:pPr>
              <w:contextualSpacing/>
            </w:pPr>
            <w:proofErr w:type="spellStart"/>
            <w:r w:rsidRPr="00E7502A">
              <w:t>TrueLogic</w:t>
            </w:r>
            <w:proofErr w:type="spellEnd"/>
            <w:r w:rsidRPr="00E7502A">
              <w:t xml:space="preserve"> Company</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Ali</w:t>
            </w:r>
          </w:p>
        </w:tc>
        <w:tc>
          <w:tcPr>
            <w:tcW w:w="1980" w:type="dxa"/>
          </w:tcPr>
          <w:p w:rsidR="00594623" w:rsidDel="00130B2A" w:rsidRDefault="00594623" w:rsidP="00594623">
            <w:pPr>
              <w:contextualSpacing/>
            </w:pPr>
            <w:r w:rsidRPr="00E7502A">
              <w:t>Bakr</w:t>
            </w:r>
          </w:p>
        </w:tc>
        <w:tc>
          <w:tcPr>
            <w:tcW w:w="3960" w:type="dxa"/>
          </w:tcPr>
          <w:p w:rsidR="00594623" w:rsidDel="00130B2A" w:rsidRDefault="00594623" w:rsidP="00594623">
            <w:pPr>
              <w:contextualSpacing/>
            </w:pPr>
            <w:r w:rsidRPr="00E7502A">
              <w:t>The Lindgren Group</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Phillip</w:t>
            </w:r>
          </w:p>
        </w:tc>
        <w:tc>
          <w:tcPr>
            <w:tcW w:w="1980" w:type="dxa"/>
          </w:tcPr>
          <w:p w:rsidR="00594623" w:rsidDel="00130B2A" w:rsidRDefault="00594623" w:rsidP="00594623">
            <w:pPr>
              <w:contextualSpacing/>
            </w:pPr>
            <w:r w:rsidRPr="00E7502A">
              <w:t>Brockman</w:t>
            </w:r>
          </w:p>
        </w:tc>
        <w:tc>
          <w:tcPr>
            <w:tcW w:w="3960" w:type="dxa"/>
          </w:tcPr>
          <w:p w:rsidR="00594623" w:rsidDel="00130B2A" w:rsidRDefault="00594623" w:rsidP="00594623">
            <w:pPr>
              <w:contextualSpacing/>
            </w:pPr>
            <w:proofErr w:type="spellStart"/>
            <w:r w:rsidRPr="00E7502A">
              <w:t>Techmetals</w:t>
            </w:r>
            <w:proofErr w:type="spellEnd"/>
            <w:r w:rsidRPr="00E7502A">
              <w:t xml:space="preserve">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Stephane</w:t>
            </w:r>
          </w:p>
        </w:tc>
        <w:tc>
          <w:tcPr>
            <w:tcW w:w="1980" w:type="dxa"/>
          </w:tcPr>
          <w:p w:rsidR="00594623" w:rsidDel="00130B2A" w:rsidRDefault="00594623" w:rsidP="00594623">
            <w:pPr>
              <w:contextualSpacing/>
            </w:pPr>
            <w:proofErr w:type="spellStart"/>
            <w:r w:rsidRPr="00E7502A">
              <w:t>Chaumeil</w:t>
            </w:r>
            <w:proofErr w:type="spellEnd"/>
          </w:p>
        </w:tc>
        <w:tc>
          <w:tcPr>
            <w:tcW w:w="3960" w:type="dxa"/>
          </w:tcPr>
          <w:p w:rsidR="00594623" w:rsidDel="00130B2A" w:rsidRDefault="00594623" w:rsidP="00594623">
            <w:pPr>
              <w:contextualSpacing/>
            </w:pPr>
            <w:r w:rsidRPr="00E7502A">
              <w:t>GALION</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Bethany</w:t>
            </w:r>
          </w:p>
        </w:tc>
        <w:tc>
          <w:tcPr>
            <w:tcW w:w="1980" w:type="dxa"/>
          </w:tcPr>
          <w:p w:rsidR="00594623" w:rsidDel="00130B2A" w:rsidRDefault="00594623" w:rsidP="00594623">
            <w:pPr>
              <w:contextualSpacing/>
            </w:pPr>
            <w:r w:rsidRPr="00E7502A">
              <w:t>Conley</w:t>
            </w:r>
          </w:p>
        </w:tc>
        <w:tc>
          <w:tcPr>
            <w:tcW w:w="3960" w:type="dxa"/>
          </w:tcPr>
          <w:p w:rsidR="00594623" w:rsidDel="00130B2A" w:rsidRDefault="00594623" w:rsidP="00594623">
            <w:pPr>
              <w:contextualSpacing/>
            </w:pPr>
            <w:proofErr w:type="spellStart"/>
            <w:r w:rsidRPr="00E7502A">
              <w:t>Techmetals</w:t>
            </w:r>
            <w:proofErr w:type="spellEnd"/>
            <w:r w:rsidRPr="00E7502A">
              <w:t xml:space="preserve">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7E53C2" w:rsidP="00594623">
            <w:pPr>
              <w:contextualSpacing/>
            </w:pPr>
            <w:r>
              <w:t>*</w:t>
            </w:r>
          </w:p>
        </w:tc>
        <w:tc>
          <w:tcPr>
            <w:tcW w:w="1638" w:type="dxa"/>
          </w:tcPr>
          <w:p w:rsidR="00594623" w:rsidDel="00130B2A" w:rsidRDefault="00594623" w:rsidP="00594623">
            <w:pPr>
              <w:contextualSpacing/>
            </w:pPr>
            <w:r w:rsidRPr="00E7502A">
              <w:t>Todd</w:t>
            </w:r>
          </w:p>
        </w:tc>
        <w:tc>
          <w:tcPr>
            <w:tcW w:w="1980" w:type="dxa"/>
          </w:tcPr>
          <w:p w:rsidR="00594623" w:rsidDel="00130B2A" w:rsidRDefault="00594623" w:rsidP="00594623">
            <w:pPr>
              <w:contextualSpacing/>
            </w:pPr>
            <w:r w:rsidRPr="00E7502A">
              <w:t>Crawford</w:t>
            </w:r>
          </w:p>
        </w:tc>
        <w:tc>
          <w:tcPr>
            <w:tcW w:w="3960" w:type="dxa"/>
          </w:tcPr>
          <w:p w:rsidR="00594623" w:rsidDel="00130B2A" w:rsidRDefault="00594623" w:rsidP="00594623">
            <w:pPr>
              <w:contextualSpacing/>
            </w:pPr>
            <w:r w:rsidRPr="00E7502A">
              <w:t>GKN Aerospace - St. Louis</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Nathan</w:t>
            </w:r>
          </w:p>
        </w:tc>
        <w:tc>
          <w:tcPr>
            <w:tcW w:w="1980" w:type="dxa"/>
          </w:tcPr>
          <w:p w:rsidR="00594623" w:rsidDel="00130B2A" w:rsidRDefault="00594623" w:rsidP="00594623">
            <w:pPr>
              <w:contextualSpacing/>
            </w:pPr>
            <w:proofErr w:type="spellStart"/>
            <w:r w:rsidRPr="00E7502A">
              <w:t>Gangloff</w:t>
            </w:r>
            <w:proofErr w:type="spellEnd"/>
          </w:p>
        </w:tc>
        <w:tc>
          <w:tcPr>
            <w:tcW w:w="3960" w:type="dxa"/>
          </w:tcPr>
          <w:p w:rsidR="00594623" w:rsidDel="00130B2A" w:rsidRDefault="00594623" w:rsidP="00594623">
            <w:pPr>
              <w:contextualSpacing/>
            </w:pPr>
            <w:r w:rsidRPr="00E7502A">
              <w:t>RBC Aircraft Products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7E53C2" w:rsidP="00594623">
            <w:pPr>
              <w:contextualSpacing/>
            </w:pPr>
            <w:r>
              <w:t>*</w:t>
            </w:r>
          </w:p>
        </w:tc>
        <w:tc>
          <w:tcPr>
            <w:tcW w:w="1638" w:type="dxa"/>
          </w:tcPr>
          <w:p w:rsidR="00594623" w:rsidDel="00130B2A" w:rsidRDefault="00594623" w:rsidP="00594623">
            <w:pPr>
              <w:contextualSpacing/>
            </w:pPr>
            <w:r w:rsidRPr="00E7502A">
              <w:t>Tony</w:t>
            </w:r>
          </w:p>
        </w:tc>
        <w:tc>
          <w:tcPr>
            <w:tcW w:w="1980" w:type="dxa"/>
          </w:tcPr>
          <w:p w:rsidR="00594623" w:rsidDel="00130B2A" w:rsidRDefault="00594623" w:rsidP="00594623">
            <w:pPr>
              <w:contextualSpacing/>
            </w:pPr>
            <w:r w:rsidRPr="00E7502A">
              <w:t>Garcia</w:t>
            </w:r>
          </w:p>
        </w:tc>
        <w:tc>
          <w:tcPr>
            <w:tcW w:w="3960" w:type="dxa"/>
          </w:tcPr>
          <w:p w:rsidR="00594623" w:rsidDel="00130B2A" w:rsidRDefault="00594623" w:rsidP="00594623">
            <w:pPr>
              <w:contextualSpacing/>
            </w:pPr>
            <w:r w:rsidRPr="00E7502A">
              <w:t>Blanchard Metals Processing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Debra</w:t>
            </w:r>
          </w:p>
        </w:tc>
        <w:tc>
          <w:tcPr>
            <w:tcW w:w="1980" w:type="dxa"/>
          </w:tcPr>
          <w:p w:rsidR="00594623" w:rsidDel="00130B2A" w:rsidRDefault="00594623" w:rsidP="00594623">
            <w:pPr>
              <w:contextualSpacing/>
            </w:pPr>
            <w:r w:rsidRPr="00E7502A">
              <w:t>Hagar</w:t>
            </w:r>
          </w:p>
        </w:tc>
        <w:tc>
          <w:tcPr>
            <w:tcW w:w="3960" w:type="dxa"/>
          </w:tcPr>
          <w:p w:rsidR="00594623" w:rsidDel="00130B2A" w:rsidRDefault="00594623" w:rsidP="00594623">
            <w:pPr>
              <w:contextualSpacing/>
            </w:pPr>
            <w:r w:rsidRPr="00E7502A">
              <w:t>NORDAM Interiors and Structures</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Connie</w:t>
            </w:r>
          </w:p>
        </w:tc>
        <w:tc>
          <w:tcPr>
            <w:tcW w:w="1980" w:type="dxa"/>
          </w:tcPr>
          <w:p w:rsidR="00594623" w:rsidDel="00130B2A" w:rsidRDefault="00594623" w:rsidP="00594623">
            <w:pPr>
              <w:contextualSpacing/>
            </w:pPr>
            <w:r w:rsidRPr="00E7502A">
              <w:t>Kelly</w:t>
            </w:r>
          </w:p>
        </w:tc>
        <w:tc>
          <w:tcPr>
            <w:tcW w:w="3960" w:type="dxa"/>
          </w:tcPr>
          <w:p w:rsidR="00594623" w:rsidDel="00130B2A" w:rsidRDefault="00594623" w:rsidP="00594623">
            <w:pPr>
              <w:contextualSpacing/>
            </w:pPr>
            <w:r w:rsidRPr="00E7502A">
              <w:t>Certified Metal Finishing,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Amanda</w:t>
            </w:r>
          </w:p>
        </w:tc>
        <w:tc>
          <w:tcPr>
            <w:tcW w:w="1980" w:type="dxa"/>
          </w:tcPr>
          <w:p w:rsidR="00594623" w:rsidDel="00130B2A" w:rsidRDefault="00594623" w:rsidP="00594623">
            <w:pPr>
              <w:contextualSpacing/>
            </w:pPr>
            <w:r w:rsidRPr="00E7502A">
              <w:t>Kirchner</w:t>
            </w:r>
          </w:p>
        </w:tc>
        <w:tc>
          <w:tcPr>
            <w:tcW w:w="3960" w:type="dxa"/>
          </w:tcPr>
          <w:p w:rsidR="00594623" w:rsidDel="00130B2A" w:rsidRDefault="00594623" w:rsidP="00594623">
            <w:pPr>
              <w:contextualSpacing/>
            </w:pPr>
            <w:proofErr w:type="spellStart"/>
            <w:r w:rsidRPr="00E7502A">
              <w:t>Workflo</w:t>
            </w:r>
            <w:proofErr w:type="spellEnd"/>
            <w:r w:rsidRPr="00E7502A">
              <w:t xml:space="preserve"> by </w:t>
            </w:r>
            <w:proofErr w:type="spellStart"/>
            <w:r w:rsidRPr="00E7502A">
              <w:t>beyondRelations</w:t>
            </w:r>
            <w:proofErr w:type="spellEnd"/>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Dean</w:t>
            </w:r>
          </w:p>
        </w:tc>
        <w:tc>
          <w:tcPr>
            <w:tcW w:w="1980" w:type="dxa"/>
          </w:tcPr>
          <w:p w:rsidR="00594623" w:rsidDel="00130B2A" w:rsidRDefault="00594623" w:rsidP="00594623">
            <w:pPr>
              <w:contextualSpacing/>
            </w:pPr>
            <w:proofErr w:type="spellStart"/>
            <w:r w:rsidRPr="00E7502A">
              <w:t>Klix</w:t>
            </w:r>
            <w:proofErr w:type="spellEnd"/>
          </w:p>
        </w:tc>
        <w:tc>
          <w:tcPr>
            <w:tcW w:w="3960" w:type="dxa"/>
          </w:tcPr>
          <w:p w:rsidR="00594623" w:rsidDel="00130B2A" w:rsidRDefault="00594623" w:rsidP="00594623">
            <w:pPr>
              <w:contextualSpacing/>
            </w:pPr>
            <w:r w:rsidRPr="00E7502A">
              <w:t>Weatherford Aerospace LLC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Jing</w:t>
            </w:r>
          </w:p>
        </w:tc>
        <w:tc>
          <w:tcPr>
            <w:tcW w:w="1980" w:type="dxa"/>
          </w:tcPr>
          <w:p w:rsidR="00594623" w:rsidDel="00130B2A" w:rsidRDefault="00594623" w:rsidP="00594623">
            <w:pPr>
              <w:contextualSpacing/>
            </w:pPr>
            <w:r w:rsidRPr="00E7502A">
              <w:t>Liu</w:t>
            </w:r>
          </w:p>
        </w:tc>
        <w:tc>
          <w:tcPr>
            <w:tcW w:w="3960" w:type="dxa"/>
          </w:tcPr>
          <w:p w:rsidR="00594623" w:rsidDel="00130B2A" w:rsidRDefault="00594623" w:rsidP="00594623">
            <w:pPr>
              <w:contextualSpacing/>
            </w:pPr>
            <w:r w:rsidRPr="00E7502A">
              <w:t>Aerospace Metal Finishing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Keith</w:t>
            </w:r>
          </w:p>
        </w:tc>
        <w:tc>
          <w:tcPr>
            <w:tcW w:w="1980" w:type="dxa"/>
          </w:tcPr>
          <w:p w:rsidR="00594623" w:rsidDel="00130B2A" w:rsidRDefault="00594623" w:rsidP="00594623">
            <w:pPr>
              <w:contextualSpacing/>
            </w:pPr>
            <w:r w:rsidRPr="00E7502A">
              <w:t>Logan</w:t>
            </w:r>
          </w:p>
        </w:tc>
        <w:tc>
          <w:tcPr>
            <w:tcW w:w="3960" w:type="dxa"/>
          </w:tcPr>
          <w:p w:rsidR="00594623" w:rsidDel="00130B2A" w:rsidRDefault="00594623" w:rsidP="00594623">
            <w:pPr>
              <w:contextualSpacing/>
            </w:pPr>
            <w:proofErr w:type="spellStart"/>
            <w:r w:rsidRPr="00E7502A">
              <w:t>Saporito</w:t>
            </w:r>
            <w:proofErr w:type="spellEnd"/>
            <w:r w:rsidRPr="00E7502A">
              <w:t xml:space="preserve"> Finishing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Rosa</w:t>
            </w:r>
          </w:p>
        </w:tc>
        <w:tc>
          <w:tcPr>
            <w:tcW w:w="1980" w:type="dxa"/>
          </w:tcPr>
          <w:p w:rsidR="00594623" w:rsidDel="00130B2A" w:rsidRDefault="00594623" w:rsidP="00594623">
            <w:pPr>
              <w:contextualSpacing/>
            </w:pPr>
            <w:r w:rsidRPr="00E7502A">
              <w:t>Martin</w:t>
            </w:r>
          </w:p>
        </w:tc>
        <w:tc>
          <w:tcPr>
            <w:tcW w:w="3960" w:type="dxa"/>
          </w:tcPr>
          <w:p w:rsidR="00594623" w:rsidDel="00130B2A" w:rsidRDefault="00594623" w:rsidP="00594623">
            <w:pPr>
              <w:contextualSpacing/>
            </w:pPr>
            <w:r w:rsidRPr="00E7502A">
              <w:t>Superior Plating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Abdul</w:t>
            </w:r>
          </w:p>
        </w:tc>
        <w:tc>
          <w:tcPr>
            <w:tcW w:w="1980" w:type="dxa"/>
          </w:tcPr>
          <w:p w:rsidR="00594623" w:rsidDel="00130B2A" w:rsidRDefault="00594623" w:rsidP="00594623">
            <w:pPr>
              <w:contextualSpacing/>
            </w:pPr>
            <w:proofErr w:type="spellStart"/>
            <w:r w:rsidRPr="00E7502A">
              <w:t>Nathani</w:t>
            </w:r>
            <w:proofErr w:type="spellEnd"/>
          </w:p>
        </w:tc>
        <w:tc>
          <w:tcPr>
            <w:tcW w:w="3960" w:type="dxa"/>
          </w:tcPr>
          <w:p w:rsidR="00594623" w:rsidDel="00130B2A" w:rsidRDefault="00594623" w:rsidP="00594623">
            <w:pPr>
              <w:contextualSpacing/>
            </w:pPr>
            <w:r w:rsidRPr="00E7502A">
              <w:t>Hi-Tech Metal Finishing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Greg</w:t>
            </w:r>
          </w:p>
        </w:tc>
        <w:tc>
          <w:tcPr>
            <w:tcW w:w="1980" w:type="dxa"/>
          </w:tcPr>
          <w:p w:rsidR="00594623" w:rsidDel="00130B2A" w:rsidRDefault="00594623" w:rsidP="00594623">
            <w:pPr>
              <w:contextualSpacing/>
            </w:pPr>
            <w:r w:rsidRPr="00E7502A">
              <w:t>Penny</w:t>
            </w:r>
          </w:p>
        </w:tc>
        <w:tc>
          <w:tcPr>
            <w:tcW w:w="3960" w:type="dxa"/>
          </w:tcPr>
          <w:p w:rsidR="00594623" w:rsidDel="00130B2A" w:rsidRDefault="00594623" w:rsidP="00594623">
            <w:pPr>
              <w:contextualSpacing/>
            </w:pPr>
            <w:r w:rsidRPr="00E7502A">
              <w:t>Black Oxide Industries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Kimberly</w:t>
            </w:r>
          </w:p>
        </w:tc>
        <w:tc>
          <w:tcPr>
            <w:tcW w:w="1980" w:type="dxa"/>
          </w:tcPr>
          <w:p w:rsidR="00594623" w:rsidDel="00130B2A" w:rsidRDefault="00594623" w:rsidP="00594623">
            <w:pPr>
              <w:contextualSpacing/>
            </w:pPr>
            <w:r w:rsidRPr="00E7502A">
              <w:t>Porter</w:t>
            </w:r>
          </w:p>
        </w:tc>
        <w:tc>
          <w:tcPr>
            <w:tcW w:w="3960" w:type="dxa"/>
          </w:tcPr>
          <w:p w:rsidR="00594623" w:rsidDel="00130B2A" w:rsidRDefault="00594623" w:rsidP="00594623">
            <w:pPr>
              <w:contextualSpacing/>
            </w:pPr>
            <w:r w:rsidRPr="00E7502A">
              <w:t>Poly-Metal Finishing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Dennis</w:t>
            </w:r>
          </w:p>
        </w:tc>
        <w:tc>
          <w:tcPr>
            <w:tcW w:w="1980" w:type="dxa"/>
          </w:tcPr>
          <w:p w:rsidR="00594623" w:rsidDel="00130B2A" w:rsidRDefault="00594623" w:rsidP="00594623">
            <w:pPr>
              <w:contextualSpacing/>
            </w:pPr>
            <w:r w:rsidRPr="00E7502A">
              <w:t>Reidy</w:t>
            </w:r>
          </w:p>
        </w:tc>
        <w:tc>
          <w:tcPr>
            <w:tcW w:w="3960" w:type="dxa"/>
          </w:tcPr>
          <w:p w:rsidR="00594623" w:rsidDel="00130B2A" w:rsidRDefault="00594623" w:rsidP="00594623">
            <w:pPr>
              <w:contextualSpacing/>
            </w:pPr>
            <w:r w:rsidRPr="00E7502A">
              <w:t>CIL Metal Finishing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Jim</w:t>
            </w:r>
          </w:p>
        </w:tc>
        <w:tc>
          <w:tcPr>
            <w:tcW w:w="1980" w:type="dxa"/>
          </w:tcPr>
          <w:p w:rsidR="00594623" w:rsidDel="00130B2A" w:rsidRDefault="00594623" w:rsidP="00594623">
            <w:pPr>
              <w:contextualSpacing/>
            </w:pPr>
            <w:r w:rsidRPr="00E7502A">
              <w:t>Ringer</w:t>
            </w:r>
          </w:p>
        </w:tc>
        <w:tc>
          <w:tcPr>
            <w:tcW w:w="3960" w:type="dxa"/>
          </w:tcPr>
          <w:p w:rsidR="00594623" w:rsidDel="00130B2A" w:rsidRDefault="00594623" w:rsidP="00594623">
            <w:pPr>
              <w:contextualSpacing/>
            </w:pPr>
            <w:r w:rsidRPr="00E7502A">
              <w:t>Tech Met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Tammi</w:t>
            </w:r>
          </w:p>
        </w:tc>
        <w:tc>
          <w:tcPr>
            <w:tcW w:w="1980" w:type="dxa"/>
          </w:tcPr>
          <w:p w:rsidR="00594623" w:rsidDel="00130B2A" w:rsidRDefault="00594623" w:rsidP="00594623">
            <w:pPr>
              <w:contextualSpacing/>
            </w:pPr>
            <w:r w:rsidRPr="00E7502A">
              <w:t>Schubert</w:t>
            </w:r>
          </w:p>
        </w:tc>
        <w:tc>
          <w:tcPr>
            <w:tcW w:w="3960" w:type="dxa"/>
          </w:tcPr>
          <w:p w:rsidR="00594623" w:rsidDel="00130B2A" w:rsidRDefault="00594623" w:rsidP="00594623">
            <w:pPr>
              <w:contextualSpacing/>
            </w:pPr>
            <w:proofErr w:type="spellStart"/>
            <w:r w:rsidRPr="00E7502A">
              <w:t>Helicomb</w:t>
            </w:r>
            <w:proofErr w:type="spellEnd"/>
            <w:r w:rsidRPr="00E7502A">
              <w:t xml:space="preserve"> International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David</w:t>
            </w:r>
          </w:p>
        </w:tc>
        <w:tc>
          <w:tcPr>
            <w:tcW w:w="1980" w:type="dxa"/>
          </w:tcPr>
          <w:p w:rsidR="00594623" w:rsidDel="00130B2A" w:rsidRDefault="00594623" w:rsidP="00594623">
            <w:pPr>
              <w:contextualSpacing/>
            </w:pPr>
            <w:proofErr w:type="spellStart"/>
            <w:r w:rsidRPr="00E7502A">
              <w:t>Serbousek</w:t>
            </w:r>
            <w:proofErr w:type="spellEnd"/>
          </w:p>
        </w:tc>
        <w:tc>
          <w:tcPr>
            <w:tcW w:w="3960" w:type="dxa"/>
          </w:tcPr>
          <w:p w:rsidR="00594623" w:rsidDel="00130B2A" w:rsidRDefault="00594623" w:rsidP="00594623">
            <w:pPr>
              <w:contextualSpacing/>
            </w:pPr>
            <w:r w:rsidRPr="00E7502A">
              <w:t>Olympic Scientific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David</w:t>
            </w:r>
          </w:p>
        </w:tc>
        <w:tc>
          <w:tcPr>
            <w:tcW w:w="1980" w:type="dxa"/>
          </w:tcPr>
          <w:p w:rsidR="00594623" w:rsidDel="00130B2A" w:rsidRDefault="00594623" w:rsidP="00594623">
            <w:pPr>
              <w:contextualSpacing/>
            </w:pPr>
            <w:r w:rsidRPr="00E7502A">
              <w:t>Sexton</w:t>
            </w:r>
          </w:p>
        </w:tc>
        <w:tc>
          <w:tcPr>
            <w:tcW w:w="3960" w:type="dxa"/>
          </w:tcPr>
          <w:p w:rsidR="00594623" w:rsidDel="00130B2A" w:rsidRDefault="00594623" w:rsidP="00594623">
            <w:pPr>
              <w:contextualSpacing/>
            </w:pPr>
            <w:r w:rsidRPr="00E7502A">
              <w:t>CERTIFIED METAL FINISHING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David</w:t>
            </w:r>
          </w:p>
        </w:tc>
        <w:tc>
          <w:tcPr>
            <w:tcW w:w="1980" w:type="dxa"/>
          </w:tcPr>
          <w:p w:rsidR="00594623" w:rsidDel="00130B2A" w:rsidRDefault="00594623" w:rsidP="00594623">
            <w:pPr>
              <w:contextualSpacing/>
            </w:pPr>
            <w:r w:rsidRPr="00E7502A">
              <w:t>Simon</w:t>
            </w:r>
          </w:p>
        </w:tc>
        <w:tc>
          <w:tcPr>
            <w:tcW w:w="3960" w:type="dxa"/>
          </w:tcPr>
          <w:p w:rsidR="00594623" w:rsidDel="00130B2A" w:rsidRDefault="00594623" w:rsidP="00594623">
            <w:pPr>
              <w:contextualSpacing/>
            </w:pPr>
            <w:r w:rsidRPr="00E7502A">
              <w:t>Barnes Aerospace Lansing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Elizabeth</w:t>
            </w:r>
          </w:p>
        </w:tc>
        <w:tc>
          <w:tcPr>
            <w:tcW w:w="1980" w:type="dxa"/>
          </w:tcPr>
          <w:p w:rsidR="00594623" w:rsidDel="00130B2A" w:rsidRDefault="00594623" w:rsidP="00594623">
            <w:pPr>
              <w:contextualSpacing/>
            </w:pPr>
            <w:r w:rsidRPr="00E7502A">
              <w:t>Small</w:t>
            </w:r>
          </w:p>
        </w:tc>
        <w:tc>
          <w:tcPr>
            <w:tcW w:w="3960" w:type="dxa"/>
          </w:tcPr>
          <w:p w:rsidR="00594623" w:rsidDel="00130B2A" w:rsidRDefault="00594623" w:rsidP="00594623">
            <w:pPr>
              <w:contextualSpacing/>
            </w:pPr>
            <w:r w:rsidRPr="00E7502A">
              <w:t>Curtiss-Wright</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Steve</w:t>
            </w:r>
          </w:p>
        </w:tc>
        <w:tc>
          <w:tcPr>
            <w:tcW w:w="1980" w:type="dxa"/>
          </w:tcPr>
          <w:p w:rsidR="00594623" w:rsidDel="00130B2A" w:rsidRDefault="00594623" w:rsidP="00594623">
            <w:pPr>
              <w:contextualSpacing/>
            </w:pPr>
            <w:r w:rsidRPr="00E7502A">
              <w:t>Stone</w:t>
            </w:r>
          </w:p>
        </w:tc>
        <w:tc>
          <w:tcPr>
            <w:tcW w:w="3960" w:type="dxa"/>
          </w:tcPr>
          <w:p w:rsidR="00594623" w:rsidDel="00130B2A" w:rsidRDefault="00594623" w:rsidP="00594623">
            <w:pPr>
              <w:contextualSpacing/>
            </w:pPr>
            <w:proofErr w:type="spellStart"/>
            <w:r w:rsidRPr="00E7502A">
              <w:t>Saporito</w:t>
            </w:r>
            <w:proofErr w:type="spellEnd"/>
            <w:r w:rsidRPr="00E7502A">
              <w:t xml:space="preserve"> Finishing</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Mitch</w:t>
            </w:r>
          </w:p>
        </w:tc>
        <w:tc>
          <w:tcPr>
            <w:tcW w:w="1980" w:type="dxa"/>
          </w:tcPr>
          <w:p w:rsidR="00594623" w:rsidDel="00130B2A" w:rsidRDefault="00594623" w:rsidP="00594623">
            <w:pPr>
              <w:contextualSpacing/>
            </w:pPr>
            <w:r w:rsidRPr="00E7502A">
              <w:t>Tanner</w:t>
            </w:r>
          </w:p>
        </w:tc>
        <w:tc>
          <w:tcPr>
            <w:tcW w:w="3960" w:type="dxa"/>
          </w:tcPr>
          <w:p w:rsidR="00594623" w:rsidDel="00130B2A" w:rsidRDefault="00594623" w:rsidP="00594623">
            <w:pPr>
              <w:contextualSpacing/>
            </w:pPr>
            <w:r w:rsidRPr="00E7502A">
              <w:t xml:space="preserve">Triumph Processing, </w:t>
            </w:r>
            <w:proofErr w:type="spellStart"/>
            <w:r w:rsidRPr="00E7502A">
              <w:t>Embee</w:t>
            </w:r>
            <w:proofErr w:type="spellEnd"/>
            <w:r w:rsidRPr="00E7502A">
              <w:t xml:space="preserve"> Division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David</w:t>
            </w:r>
          </w:p>
        </w:tc>
        <w:tc>
          <w:tcPr>
            <w:tcW w:w="1980" w:type="dxa"/>
          </w:tcPr>
          <w:p w:rsidR="00594623" w:rsidDel="00130B2A" w:rsidRDefault="00594623" w:rsidP="00594623">
            <w:pPr>
              <w:contextualSpacing/>
            </w:pPr>
            <w:r w:rsidRPr="00E7502A">
              <w:t>Winter</w:t>
            </w:r>
          </w:p>
        </w:tc>
        <w:tc>
          <w:tcPr>
            <w:tcW w:w="3960" w:type="dxa"/>
          </w:tcPr>
          <w:p w:rsidR="00594623" w:rsidDel="00130B2A" w:rsidRDefault="00594623" w:rsidP="00594623">
            <w:pPr>
              <w:contextualSpacing/>
            </w:pPr>
            <w:r w:rsidRPr="00E7502A">
              <w:t>Olympic Scientific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r w:rsidRPr="00E7502A">
              <w:t>*</w:t>
            </w:r>
          </w:p>
        </w:tc>
        <w:tc>
          <w:tcPr>
            <w:tcW w:w="1638" w:type="dxa"/>
          </w:tcPr>
          <w:p w:rsidR="00594623" w:rsidDel="00130B2A" w:rsidRDefault="00594623" w:rsidP="00594623">
            <w:pPr>
              <w:contextualSpacing/>
            </w:pPr>
            <w:r w:rsidRPr="00E7502A">
              <w:t>Blanca</w:t>
            </w:r>
          </w:p>
        </w:tc>
        <w:tc>
          <w:tcPr>
            <w:tcW w:w="1980" w:type="dxa"/>
          </w:tcPr>
          <w:p w:rsidR="00594623" w:rsidDel="00130B2A" w:rsidRDefault="00594623" w:rsidP="00594623">
            <w:pPr>
              <w:contextualSpacing/>
            </w:pPr>
            <w:proofErr w:type="spellStart"/>
            <w:r w:rsidRPr="00E7502A">
              <w:t>Zilli</w:t>
            </w:r>
            <w:proofErr w:type="spellEnd"/>
            <w:r w:rsidRPr="00E7502A">
              <w:t>-Huerta</w:t>
            </w:r>
          </w:p>
        </w:tc>
        <w:tc>
          <w:tcPr>
            <w:tcW w:w="3960" w:type="dxa"/>
          </w:tcPr>
          <w:p w:rsidR="00594623" w:rsidDel="00130B2A" w:rsidRDefault="00594623" w:rsidP="00594623">
            <w:pPr>
              <w:contextualSpacing/>
            </w:pPr>
            <w:r w:rsidRPr="00E7502A">
              <w:t>Bowman Plating Company Inc</w:t>
            </w:r>
          </w:p>
        </w:tc>
        <w:tc>
          <w:tcPr>
            <w:tcW w:w="2430" w:type="dxa"/>
          </w:tcPr>
          <w:p w:rsidR="00594623" w:rsidRPr="000F7D47" w:rsidDel="00130B2A" w:rsidRDefault="00594623" w:rsidP="00594623">
            <w:pPr>
              <w:contextualSpacing/>
            </w:pPr>
          </w:p>
        </w:tc>
      </w:tr>
      <w:tr w:rsidR="00594623" w:rsidRPr="000F7D47" w:rsidDel="00130B2A" w:rsidTr="005D26B5">
        <w:tc>
          <w:tcPr>
            <w:tcW w:w="295" w:type="dxa"/>
          </w:tcPr>
          <w:p w:rsidR="00594623" w:rsidRPr="000F7D47" w:rsidDel="00130B2A" w:rsidRDefault="00594623" w:rsidP="00594623">
            <w:pPr>
              <w:contextualSpacing/>
            </w:pPr>
          </w:p>
        </w:tc>
        <w:tc>
          <w:tcPr>
            <w:tcW w:w="1638" w:type="dxa"/>
          </w:tcPr>
          <w:p w:rsidR="00594623" w:rsidDel="00130B2A" w:rsidRDefault="00594623" w:rsidP="00594623">
            <w:pPr>
              <w:contextualSpacing/>
            </w:pPr>
            <w:r w:rsidRPr="00E7502A">
              <w:t>Magdalena</w:t>
            </w:r>
          </w:p>
        </w:tc>
        <w:tc>
          <w:tcPr>
            <w:tcW w:w="1980" w:type="dxa"/>
          </w:tcPr>
          <w:p w:rsidR="00594623" w:rsidDel="00130B2A" w:rsidRDefault="00594623" w:rsidP="00594623">
            <w:pPr>
              <w:contextualSpacing/>
            </w:pPr>
            <w:proofErr w:type="spellStart"/>
            <w:r w:rsidRPr="00E7502A">
              <w:t>Zukowski</w:t>
            </w:r>
            <w:proofErr w:type="spellEnd"/>
          </w:p>
        </w:tc>
        <w:tc>
          <w:tcPr>
            <w:tcW w:w="3960" w:type="dxa"/>
          </w:tcPr>
          <w:p w:rsidR="00594623" w:rsidDel="00130B2A" w:rsidRDefault="00594623" w:rsidP="00594623">
            <w:pPr>
              <w:contextualSpacing/>
            </w:pPr>
            <w:proofErr w:type="spellStart"/>
            <w:r w:rsidRPr="00E7502A">
              <w:t>Litron</w:t>
            </w:r>
            <w:proofErr w:type="spellEnd"/>
            <w:r w:rsidRPr="00E7502A">
              <w:t xml:space="preserve"> Inc.</w:t>
            </w:r>
          </w:p>
        </w:tc>
        <w:tc>
          <w:tcPr>
            <w:tcW w:w="2430" w:type="dxa"/>
          </w:tcPr>
          <w:p w:rsidR="00594623" w:rsidRPr="000F7D47" w:rsidDel="00130B2A" w:rsidRDefault="00594623" w:rsidP="00594623">
            <w:pPr>
              <w:contextualSpacing/>
            </w:pPr>
          </w:p>
        </w:tc>
      </w:tr>
    </w:tbl>
    <w:p w:rsidR="0079103B" w:rsidRPr="000F7D47" w:rsidRDefault="0079103B" w:rsidP="0079103B">
      <w:pPr>
        <w:keepNext/>
        <w:spacing w:before="200"/>
        <w:ind w:left="720"/>
        <w:rPr>
          <w:rFonts w:eastAsia="Calibri"/>
          <w:b/>
          <w:i/>
          <w:u w:val="single"/>
        </w:rPr>
      </w:pPr>
      <w:r w:rsidRPr="000F7D47">
        <w:rPr>
          <w:rFonts w:eastAsia="Calibri"/>
          <w:b/>
          <w:i/>
          <w:u w:val="single"/>
        </w:rPr>
        <w:lastRenderedPageBreak/>
        <w:t xml:space="preserve">PRI Staff Present </w:t>
      </w:r>
    </w:p>
    <w:tbl>
      <w:tblPr>
        <w:tblStyle w:val="TableGrid1"/>
        <w:tblW w:w="36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45"/>
        <w:gridCol w:w="1980"/>
      </w:tblGrid>
      <w:tr w:rsidR="0079103B" w:rsidRPr="000F7D47" w:rsidTr="00AA66E8">
        <w:tc>
          <w:tcPr>
            <w:tcW w:w="1645" w:type="dxa"/>
          </w:tcPr>
          <w:p w:rsidR="0079103B" w:rsidRPr="000F7D47" w:rsidRDefault="0079103B" w:rsidP="000233B6">
            <w:pPr>
              <w:contextualSpacing/>
            </w:pPr>
            <w:r w:rsidRPr="000F7D47">
              <w:t>Nigel</w:t>
            </w:r>
          </w:p>
        </w:tc>
        <w:tc>
          <w:tcPr>
            <w:tcW w:w="1980" w:type="dxa"/>
          </w:tcPr>
          <w:p w:rsidR="0079103B" w:rsidRPr="000F7D47" w:rsidRDefault="0079103B" w:rsidP="000233B6">
            <w:pPr>
              <w:contextualSpacing/>
            </w:pPr>
            <w:r w:rsidRPr="000F7D47">
              <w:t>Cook</w:t>
            </w:r>
          </w:p>
        </w:tc>
      </w:tr>
      <w:tr w:rsidR="00BA3A32" w:rsidRPr="000F7D47" w:rsidTr="00AA66E8">
        <w:tc>
          <w:tcPr>
            <w:tcW w:w="1645" w:type="dxa"/>
          </w:tcPr>
          <w:p w:rsidR="00BA3A32" w:rsidRPr="000F7D47" w:rsidRDefault="00BA3A32" w:rsidP="000233B6">
            <w:pPr>
              <w:contextualSpacing/>
            </w:pPr>
            <w:r>
              <w:t>Christine</w:t>
            </w:r>
          </w:p>
        </w:tc>
        <w:tc>
          <w:tcPr>
            <w:tcW w:w="1980" w:type="dxa"/>
          </w:tcPr>
          <w:p w:rsidR="00BA3A32" w:rsidRPr="000F7D47" w:rsidRDefault="00BA3A32" w:rsidP="000233B6">
            <w:pPr>
              <w:contextualSpacing/>
            </w:pPr>
            <w:r>
              <w:t>Nesbitt</w:t>
            </w:r>
          </w:p>
        </w:tc>
      </w:tr>
    </w:tbl>
    <w:p w:rsidR="00BA3A32" w:rsidRDefault="00BA3A32" w:rsidP="00BA3A32">
      <w:pPr>
        <w:pStyle w:val="Heading2"/>
        <w:numPr>
          <w:ilvl w:val="0"/>
          <w:numId w:val="0"/>
        </w:numPr>
        <w:ind w:left="709"/>
      </w:pPr>
    </w:p>
    <w:p w:rsidR="00BF707F" w:rsidRDefault="00BF707F" w:rsidP="00C9396A">
      <w:pPr>
        <w:pStyle w:val="Heading2"/>
        <w:ind w:left="709" w:hanging="709"/>
      </w:pPr>
      <w:r w:rsidRPr="002F7272">
        <w:t>Review Rules of Conduct</w:t>
      </w:r>
      <w:r w:rsidR="006739CA">
        <w:t>.</w:t>
      </w:r>
    </w:p>
    <w:p w:rsidR="00AA66E8" w:rsidRDefault="00E85914" w:rsidP="00C9396A">
      <w:pPr>
        <w:pStyle w:val="Heading2"/>
        <w:ind w:left="709" w:hanging="709"/>
        <w:rPr>
          <w:rStyle w:val="Heading2Char"/>
        </w:rPr>
      </w:pPr>
      <w:r w:rsidRPr="00AA66E8">
        <w:rPr>
          <w:rStyle w:val="Heading2Char"/>
        </w:rPr>
        <w:t xml:space="preserve">Approval of the minutes of the previous meeting. </w:t>
      </w:r>
    </w:p>
    <w:p w:rsidR="00BF707F" w:rsidRDefault="006739CA" w:rsidP="00FA0B5E">
      <w:pPr>
        <w:pStyle w:val="Body"/>
      </w:pPr>
      <w:r>
        <w:rPr>
          <w:rStyle w:val="Heading2Char"/>
        </w:rPr>
        <w:t xml:space="preserve">Motion made by </w:t>
      </w:r>
      <w:r w:rsidR="00055301">
        <w:rPr>
          <w:rStyle w:val="Heading2Char"/>
        </w:rPr>
        <w:t xml:space="preserve">Phil Brockman </w:t>
      </w:r>
      <w:r>
        <w:rPr>
          <w:rStyle w:val="Heading2Char"/>
        </w:rPr>
        <w:t xml:space="preserve">and seconded by </w:t>
      </w:r>
      <w:r w:rsidR="00055301">
        <w:rPr>
          <w:rStyle w:val="Heading2Char"/>
        </w:rPr>
        <w:t xml:space="preserve">Tammi Schubert </w:t>
      </w:r>
      <w:r>
        <w:rPr>
          <w:rStyle w:val="Heading2Char"/>
        </w:rPr>
        <w:t xml:space="preserve">to approve the </w:t>
      </w:r>
      <w:r w:rsidR="00BF707F" w:rsidRPr="00AA66E8">
        <w:rPr>
          <w:rStyle w:val="Heading2Char"/>
        </w:rPr>
        <w:t xml:space="preserve">minutes </w:t>
      </w:r>
      <w:r w:rsidR="00246D41" w:rsidRPr="00AA66E8">
        <w:rPr>
          <w:rStyle w:val="Heading2Char"/>
        </w:rPr>
        <w:t>from</w:t>
      </w:r>
      <w:r w:rsidR="00BF707F" w:rsidRPr="00AA66E8">
        <w:rPr>
          <w:rStyle w:val="Heading2Char"/>
        </w:rPr>
        <w:t xml:space="preserve"> </w:t>
      </w:r>
      <w:r w:rsidR="00744344">
        <w:rPr>
          <w:rStyle w:val="Heading2Char"/>
        </w:rPr>
        <w:t>June</w:t>
      </w:r>
      <w:r w:rsidR="00BA3ECE">
        <w:rPr>
          <w:rStyle w:val="Heading2Char"/>
        </w:rPr>
        <w:t xml:space="preserve"> 2016</w:t>
      </w:r>
      <w:r>
        <w:rPr>
          <w:rStyle w:val="Heading2Char"/>
        </w:rPr>
        <w:t xml:space="preserve"> meeting. </w:t>
      </w:r>
      <w:r w:rsidR="000B3303">
        <w:t>Motion Passed.</w:t>
      </w:r>
    </w:p>
    <w:p w:rsidR="00F9308D" w:rsidRPr="0095620B" w:rsidRDefault="00F9308D" w:rsidP="00F9308D">
      <w:pPr>
        <w:pStyle w:val="Heading1"/>
        <w:rPr>
          <w:szCs w:val="20"/>
        </w:rPr>
      </w:pPr>
      <w:r w:rsidRPr="0095620B">
        <w:rPr>
          <w:szCs w:val="20"/>
        </w:rPr>
        <w:t>New Member Orientation</w:t>
      </w:r>
    </w:p>
    <w:p w:rsidR="00F9308D" w:rsidRPr="0095620B" w:rsidRDefault="005C2AC7" w:rsidP="00F9308D">
      <w:pPr>
        <w:pStyle w:val="Body"/>
        <w:rPr>
          <w:rFonts w:cs="Arial"/>
          <w:szCs w:val="20"/>
        </w:rPr>
      </w:pPr>
      <w:r w:rsidRPr="0095620B">
        <w:rPr>
          <w:rFonts w:cs="Arial"/>
          <w:szCs w:val="20"/>
        </w:rPr>
        <w:t>Mike N</w:t>
      </w:r>
      <w:r w:rsidR="00E41AA2">
        <w:rPr>
          <w:rFonts w:cs="Arial"/>
          <w:szCs w:val="20"/>
        </w:rPr>
        <w:t>oe</w:t>
      </w:r>
      <w:r w:rsidRPr="0095620B">
        <w:rPr>
          <w:rFonts w:cs="Arial"/>
          <w:szCs w:val="20"/>
        </w:rPr>
        <w:t>ttl</w:t>
      </w:r>
      <w:r w:rsidR="00F9308D" w:rsidRPr="0095620B">
        <w:rPr>
          <w:rFonts w:cs="Arial"/>
          <w:szCs w:val="20"/>
        </w:rPr>
        <w:t xml:space="preserve"> reviewed the Functions and Operation of the Nadcap C</w:t>
      </w:r>
      <w:r w:rsidR="00C65439" w:rsidRPr="0095620B">
        <w:rPr>
          <w:rFonts w:cs="Arial"/>
          <w:szCs w:val="20"/>
        </w:rPr>
        <w:t>hemical Processing</w:t>
      </w:r>
      <w:r w:rsidR="00F9308D" w:rsidRPr="0095620B">
        <w:rPr>
          <w:rFonts w:cs="Arial"/>
          <w:szCs w:val="20"/>
        </w:rPr>
        <w:t xml:space="preserve"> Task Group</w:t>
      </w:r>
      <w:r w:rsidR="00E924C8" w:rsidRPr="0095620B">
        <w:rPr>
          <w:rFonts w:cs="Arial"/>
          <w:szCs w:val="20"/>
        </w:rPr>
        <w:t xml:space="preserve"> (CPTG)</w:t>
      </w:r>
      <w:r w:rsidR="00F9308D" w:rsidRPr="0095620B">
        <w:rPr>
          <w:rFonts w:cs="Arial"/>
          <w:szCs w:val="20"/>
        </w:rPr>
        <w:t xml:space="preserve"> as well as the role of this committee in support of the Task Group.</w:t>
      </w:r>
    </w:p>
    <w:p w:rsidR="00F9308D" w:rsidRDefault="00F9308D" w:rsidP="00F9308D">
      <w:pPr>
        <w:pStyle w:val="Heading1"/>
      </w:pPr>
      <w:r w:rsidRPr="00F9308D">
        <w:t>CP-SAT Mission Statement</w:t>
      </w:r>
    </w:p>
    <w:p w:rsidR="00F9308D" w:rsidRDefault="00F9308D" w:rsidP="00F9308D">
      <w:pPr>
        <w:pStyle w:val="Body"/>
      </w:pPr>
      <w:r>
        <w:t xml:space="preserve">The CP-SAT </w:t>
      </w:r>
      <w:r w:rsidRPr="00A57FD3">
        <w:t>mission statement</w:t>
      </w:r>
      <w:r>
        <w:t xml:space="preserve"> was reviewed.</w:t>
      </w:r>
    </w:p>
    <w:p w:rsidR="00865B67" w:rsidRDefault="009D2045" w:rsidP="00F9308D">
      <w:pPr>
        <w:pStyle w:val="Body"/>
      </w:pPr>
      <w:r>
        <w:object w:dxaOrig="2520" w:dyaOrig="1640" w14:anchorId="6F46B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53.7pt" o:ole="">
            <v:imagedata r:id="rId11" o:title=""/>
          </v:shape>
          <o:OLEObject Type="Embed" ProgID="Acrobat.Document.11" ShapeID="_x0000_i1025" DrawAspect="Icon" ObjectID="_1550644546" r:id="rId12"/>
        </w:object>
      </w:r>
    </w:p>
    <w:p w:rsidR="00F9308D" w:rsidRDefault="00F9308D" w:rsidP="00F9308D">
      <w:pPr>
        <w:pStyle w:val="Heading1"/>
      </w:pPr>
      <w:r>
        <w:t xml:space="preserve">Status of </w:t>
      </w:r>
      <w:r w:rsidR="00D15A71">
        <w:t xml:space="preserve">open </w:t>
      </w:r>
      <w:r>
        <w:t>action Items</w:t>
      </w:r>
    </w:p>
    <w:p w:rsidR="00EF0582" w:rsidRDefault="00CE1393" w:rsidP="007E27F8">
      <w:pPr>
        <w:pStyle w:val="Body"/>
      </w:pPr>
      <w:r>
        <w:rPr>
          <w:b/>
        </w:rPr>
        <w:t>Supplier Support Committee (</w:t>
      </w:r>
      <w:r w:rsidR="007E27F8">
        <w:rPr>
          <w:b/>
        </w:rPr>
        <w:t>SSC</w:t>
      </w:r>
      <w:r>
        <w:rPr>
          <w:b/>
        </w:rPr>
        <w:t>)</w:t>
      </w:r>
      <w:r w:rsidR="007E27F8">
        <w:rPr>
          <w:b/>
        </w:rPr>
        <w:t xml:space="preserve"> Representative:</w:t>
      </w:r>
      <w:r w:rsidR="007E27F8">
        <w:t xml:space="preserve"> </w:t>
      </w:r>
      <w:r w:rsidR="003313BA">
        <w:t>The CP-SAT voted to nominate Eric Jacklin as the designated SSC representative and Tammi Schubert as the alternate representative should Eric not be able to attend and ask for ratification from the Task Group Chair</w:t>
      </w:r>
      <w:r w:rsidR="008F638E">
        <w:t>person</w:t>
      </w:r>
      <w:r w:rsidR="003313BA">
        <w:t xml:space="preserve"> and CP Lead Staff Engineer. Eric and Tammi are long standing active voting members of the CPTG.</w:t>
      </w:r>
    </w:p>
    <w:p w:rsidR="00DF0F8C" w:rsidRDefault="009C66C6" w:rsidP="009C66C6">
      <w:pPr>
        <w:pStyle w:val="ActionItem"/>
        <w:rPr>
          <w:b w:val="0"/>
        </w:rPr>
      </w:pPr>
      <w:r>
        <w:t xml:space="preserve">Action Item: Eric Jacklin to check with the SSC about the opportunity for a Commodity to have </w:t>
      </w:r>
      <w:r w:rsidR="00A57FD3">
        <w:t xml:space="preserve">an </w:t>
      </w:r>
      <w:r w:rsidR="00CB568F">
        <w:t>Alternate</w:t>
      </w:r>
      <w:r w:rsidR="00A57FD3">
        <w:t xml:space="preserve"> Representative whe</w:t>
      </w:r>
      <w:r>
        <w:t>n the normal SSC Representative is not available</w:t>
      </w:r>
      <w:r w:rsidR="00115731">
        <w:t>.</w:t>
      </w:r>
      <w:r>
        <w:t xml:space="preserve"> (Due Date: 20-</w:t>
      </w:r>
      <w:r w:rsidR="0046656D">
        <w:t>Oct</w:t>
      </w:r>
      <w:r>
        <w:t>-2016)</w:t>
      </w:r>
    </w:p>
    <w:p w:rsidR="009D739D" w:rsidRDefault="009D739D" w:rsidP="009D739D">
      <w:pPr>
        <w:pStyle w:val="Body"/>
      </w:pPr>
      <w:r w:rsidRPr="00626100">
        <w:rPr>
          <w:b/>
        </w:rPr>
        <w:t>ASTM D4</w:t>
      </w:r>
      <w:r w:rsidRPr="0029302F">
        <w:rPr>
          <w:b/>
        </w:rPr>
        <w:t>060</w:t>
      </w:r>
      <w:r w:rsidRPr="00626100">
        <w:rPr>
          <w:b/>
        </w:rPr>
        <w:t>:</w:t>
      </w:r>
      <w:r>
        <w:t xml:space="preserve"> Dave Serbousek has been working with a representative from Taber and drafted an alternative to ASTM D4060 for hard coatings. </w:t>
      </w:r>
      <w:r w:rsidR="0046656D">
        <w:t>Consider inviting him to the October TG meeting so he can get first hand understanding of the importance of this to the CP Task Gr</w:t>
      </w:r>
      <w:r w:rsidR="00BF3095">
        <w:t>oup.</w:t>
      </w:r>
    </w:p>
    <w:p w:rsidR="00055301" w:rsidRPr="00055301" w:rsidRDefault="00055301" w:rsidP="009D739D">
      <w:pPr>
        <w:pStyle w:val="Body"/>
      </w:pPr>
      <w:r w:rsidRPr="00055301">
        <w:t xml:space="preserve">The issue </w:t>
      </w:r>
      <w:r w:rsidR="00DD34CC" w:rsidRPr="00055301">
        <w:t>has</w:t>
      </w:r>
      <w:r w:rsidRPr="00055301">
        <w:t xml:space="preserve"> been solved with the new draft of MIL-A-8625</w:t>
      </w:r>
      <w:r>
        <w:t>. Item Closed</w:t>
      </w:r>
    </w:p>
    <w:p w:rsidR="009D739D" w:rsidRDefault="009D739D" w:rsidP="009D739D">
      <w:pPr>
        <w:pStyle w:val="Body"/>
      </w:pPr>
      <w:r w:rsidRPr="00A57FD3">
        <w:rPr>
          <w:b/>
        </w:rPr>
        <w:t>Visual Acceptance Requirements:</w:t>
      </w:r>
      <w:r>
        <w:t xml:space="preserve"> Mike Noettl </w:t>
      </w:r>
      <w:r w:rsidR="00480E75">
        <w:t>reviewed the</w:t>
      </w:r>
      <w:r>
        <w:t xml:space="preserve"> presentation </w:t>
      </w:r>
      <w:r w:rsidR="00480E75">
        <w:t xml:space="preserve">from the previous meeting </w:t>
      </w:r>
      <w:r>
        <w:t xml:space="preserve">on </w:t>
      </w:r>
      <w:r w:rsidR="009D2045">
        <w:t>U</w:t>
      </w:r>
      <w:r>
        <w:t xml:space="preserve">nacceptable </w:t>
      </w:r>
      <w:r w:rsidR="009D2045">
        <w:t>V</w:t>
      </w:r>
      <w:r>
        <w:t xml:space="preserve">isual </w:t>
      </w:r>
      <w:r w:rsidR="009D2045">
        <w:t>C</w:t>
      </w:r>
      <w:r>
        <w:t>onditions (UVC). These are “undefined” items that can lead to the parts being rejected by the customer. These are not part of the process specification but a statement in the general purchasing requirements of the customer. The problem is that they are “undefined” so the processor does not know what they need to a</w:t>
      </w:r>
      <w:r w:rsidR="00BB5C94">
        <w:t xml:space="preserve">chieve. If anybody else is having </w:t>
      </w:r>
      <w:r>
        <w:t xml:space="preserve">problems with </w:t>
      </w:r>
      <w:r w:rsidR="00CB568F">
        <w:t>this,</w:t>
      </w:r>
      <w:r>
        <w:t xml:space="preserve"> </w:t>
      </w:r>
      <w:r w:rsidR="00F3210E">
        <w:t>notify</w:t>
      </w:r>
      <w:r>
        <w:t xml:space="preserve"> Mike Noettl.</w:t>
      </w:r>
    </w:p>
    <w:p w:rsidR="00C5246D" w:rsidRPr="00C5246D" w:rsidRDefault="00C5246D" w:rsidP="009D739D">
      <w:pPr>
        <w:pStyle w:val="Body"/>
      </w:pPr>
      <w:r w:rsidRPr="00C5246D">
        <w:t xml:space="preserve">Can we also get data on the parts that are </w:t>
      </w:r>
      <w:r w:rsidR="00DF51B4">
        <w:t>acceptable to spec</w:t>
      </w:r>
      <w:r w:rsidR="00115731">
        <w:t>ification</w:t>
      </w:r>
      <w:r w:rsidR="00DF51B4">
        <w:t xml:space="preserve"> but rejected due to UVC</w:t>
      </w:r>
      <w:r w:rsidR="00115731">
        <w:t>?</w:t>
      </w:r>
    </w:p>
    <w:p w:rsidR="00115731" w:rsidRDefault="00480E75" w:rsidP="00115731">
      <w:pPr>
        <w:pStyle w:val="ActionItem"/>
        <w:rPr>
          <w:b w:val="0"/>
        </w:rPr>
      </w:pPr>
      <w:r>
        <w:t xml:space="preserve">Action Item: Suppliers to provide Mike Noettl with photographs and specifications to identify </w:t>
      </w:r>
      <w:r w:rsidR="00296B88">
        <w:t>what typical visual appearances of surface finishes that can due to substrate surface pre-treatments/conditions.</w:t>
      </w:r>
      <w:r w:rsidR="00DF51B4">
        <w:t xml:space="preserve"> </w:t>
      </w:r>
      <w:hyperlink r:id="rId13" w:history="1">
        <w:r w:rsidR="00DF51B4" w:rsidRPr="00736736">
          <w:rPr>
            <w:rStyle w:val="Hyperlink"/>
          </w:rPr>
          <w:t>mnoettl@milinc.com</w:t>
        </w:r>
      </w:hyperlink>
      <w:r w:rsidR="00DF51B4">
        <w:t xml:space="preserve"> </w:t>
      </w:r>
      <w:r w:rsidR="00115731">
        <w:t xml:space="preserve">(Due Date: </w:t>
      </w:r>
      <w:r w:rsidR="004A7555">
        <w:t>20</w:t>
      </w:r>
      <w:r w:rsidR="00115731">
        <w:t>-</w:t>
      </w:r>
      <w:r w:rsidR="004A7555">
        <w:t>Feb</w:t>
      </w:r>
      <w:r w:rsidR="00115731">
        <w:t>-</w:t>
      </w:r>
      <w:r w:rsidR="004A7555">
        <w:t>2016</w:t>
      </w:r>
      <w:r w:rsidR="00115731">
        <w:t>)</w:t>
      </w:r>
    </w:p>
    <w:p w:rsidR="009D739D" w:rsidRDefault="009D739D" w:rsidP="009D739D">
      <w:pPr>
        <w:pStyle w:val="Body"/>
      </w:pPr>
      <w:r w:rsidRPr="00FD13B8">
        <w:rPr>
          <w:b/>
        </w:rPr>
        <w:lastRenderedPageBreak/>
        <w:t>Checklist Strategy:</w:t>
      </w:r>
      <w:r>
        <w:t xml:space="preserve"> How will the Task Group be analyzing and reporting the </w:t>
      </w:r>
      <w:r w:rsidR="00CB568F">
        <w:t>effect</w:t>
      </w:r>
      <w:r>
        <w:t xml:space="preserve"> of the new checklists on auditor consistency and </w:t>
      </w:r>
      <w:r w:rsidR="009D2045">
        <w:rPr>
          <w:szCs w:val="28"/>
          <w:lang w:val="en-GB"/>
        </w:rPr>
        <w:t>Non-C</w:t>
      </w:r>
      <w:r w:rsidR="009D2045" w:rsidRPr="005876DD">
        <w:rPr>
          <w:szCs w:val="28"/>
          <w:lang w:val="en-GB"/>
        </w:rPr>
        <w:t>onformance Report</w:t>
      </w:r>
      <w:r w:rsidR="00F3210E">
        <w:rPr>
          <w:szCs w:val="28"/>
          <w:lang w:val="en-GB"/>
        </w:rPr>
        <w:t>s</w:t>
      </w:r>
      <w:r w:rsidR="009D2045">
        <w:t xml:space="preserve"> </w:t>
      </w:r>
      <w:r w:rsidR="00F3210E">
        <w:t>(</w:t>
      </w:r>
      <w:r>
        <w:t>NCRs</w:t>
      </w:r>
      <w:r w:rsidR="00F3210E">
        <w:t>)</w:t>
      </w:r>
      <w:r>
        <w:t>/audit.</w:t>
      </w:r>
    </w:p>
    <w:p w:rsidR="00744344" w:rsidRDefault="00744344" w:rsidP="00744344">
      <w:pPr>
        <w:pStyle w:val="Body"/>
      </w:pPr>
      <w:r w:rsidRPr="00DF51B4">
        <w:rPr>
          <w:b/>
        </w:rPr>
        <w:t>Redundant Audits:</w:t>
      </w:r>
      <w:r>
        <w:t xml:space="preserve"> Some suppliers are starting to have 3</w:t>
      </w:r>
      <w:r w:rsidRPr="00157661">
        <w:rPr>
          <w:vertAlign w:val="superscript"/>
        </w:rPr>
        <w:t>rd</w:t>
      </w:r>
      <w:r>
        <w:t xml:space="preserve"> party companies coming in to do special process audits on behalf of a Subscriber and from direct customers due to Subscriber requests.</w:t>
      </w:r>
    </w:p>
    <w:p w:rsidR="00744344" w:rsidRDefault="00744344" w:rsidP="00744344">
      <w:pPr>
        <w:pStyle w:val="Body"/>
      </w:pPr>
      <w:r>
        <w:t>Redundant Surveys: Suppliers are starting to receive questionnaires from 3</w:t>
      </w:r>
      <w:r w:rsidRPr="00157661">
        <w:rPr>
          <w:vertAlign w:val="superscript"/>
        </w:rPr>
        <w:t>rd</w:t>
      </w:r>
      <w:r>
        <w:t xml:space="preserve"> party companies on behalf of the subscriber and also from direct customers due to Subscriber requests.</w:t>
      </w:r>
    </w:p>
    <w:p w:rsidR="00744344" w:rsidRDefault="00744344" w:rsidP="00744344">
      <w:pPr>
        <w:pStyle w:val="Body"/>
      </w:pPr>
      <w:r>
        <w:t>CP-SAT to bring concerns of “redundant audits” and “redundant surveys” to the CP Task Group meeting.</w:t>
      </w:r>
    </w:p>
    <w:p w:rsidR="00744344" w:rsidRDefault="00744344" w:rsidP="00744344">
      <w:pPr>
        <w:pStyle w:val="Body"/>
      </w:pPr>
      <w:r>
        <w:t xml:space="preserve">Shop Layout: Auditors have been asking for shop layout drawings identify every tank and </w:t>
      </w:r>
      <w:r w:rsidR="00F3210E">
        <w:t>S</w:t>
      </w:r>
      <w:r>
        <w:t xml:space="preserve">upplier must grey out areas that are not part of the CP audit. Nigel </w:t>
      </w:r>
      <w:r w:rsidR="00F3210E">
        <w:t xml:space="preserve">Cook </w:t>
      </w:r>
      <w:r>
        <w:t xml:space="preserve">clarified that the revision controlled drawing to be attached is only required to identify the areas that are subject to the CP audit. </w:t>
      </w:r>
    </w:p>
    <w:p w:rsidR="00744344" w:rsidRDefault="00744344" w:rsidP="000639D9">
      <w:pPr>
        <w:pStyle w:val="ActionItem"/>
      </w:pPr>
      <w:r>
        <w:t xml:space="preserve">Action Item: Nigel Cook to </w:t>
      </w:r>
      <w:r w:rsidR="000639D9">
        <w:t>send out an auditor advisory defining the content of the</w:t>
      </w:r>
      <w:r>
        <w:t xml:space="preserve"> shop drawing. (Due Date: 20-</w:t>
      </w:r>
      <w:r w:rsidR="000639D9">
        <w:t>Nov</w:t>
      </w:r>
      <w:r>
        <w:t>-2016)</w:t>
      </w:r>
    </w:p>
    <w:p w:rsidR="00EE0050" w:rsidRDefault="00EE0050" w:rsidP="00EE0050">
      <w:pPr>
        <w:pStyle w:val="Heading1"/>
      </w:pPr>
      <w:r>
        <w:t>new business</w:t>
      </w:r>
    </w:p>
    <w:p w:rsidR="000A0864" w:rsidRDefault="000639D9" w:rsidP="00744344">
      <w:pPr>
        <w:pStyle w:val="Body"/>
      </w:pPr>
      <w:r>
        <w:t xml:space="preserve">The sending of </w:t>
      </w:r>
      <w:r w:rsidR="009D2045">
        <w:t>self</w:t>
      </w:r>
      <w:r>
        <w:t xml:space="preserve">-audit document to the Nadcap </w:t>
      </w:r>
      <w:r w:rsidR="00F3210E">
        <w:t>A</w:t>
      </w:r>
      <w:r>
        <w:t xml:space="preserve">uditor and control of that documentation when in control of the </w:t>
      </w:r>
      <w:r w:rsidR="00F3210E">
        <w:t>A</w:t>
      </w:r>
      <w:r>
        <w:t>uditor and Nadcap is a concern.</w:t>
      </w:r>
    </w:p>
    <w:p w:rsidR="000639D9" w:rsidRDefault="009312D1" w:rsidP="00744344">
      <w:pPr>
        <w:pStyle w:val="Body"/>
      </w:pPr>
      <w:r>
        <w:t>Checklist revision frequency</w:t>
      </w:r>
      <w:r w:rsidR="006F1581">
        <w:t>: Felt the frequency of revisions was too high</w:t>
      </w:r>
      <w:r w:rsidR="00F3210E">
        <w:t>.</w:t>
      </w:r>
    </w:p>
    <w:p w:rsidR="00410F32" w:rsidRDefault="00410F32" w:rsidP="00744344">
      <w:pPr>
        <w:pStyle w:val="Body"/>
      </w:pPr>
      <w:r>
        <w:t xml:space="preserve">More </w:t>
      </w:r>
      <w:r w:rsidR="00F3210E">
        <w:t>S</w:t>
      </w:r>
      <w:r>
        <w:t xml:space="preserve">uppliers need to get involved in the </w:t>
      </w:r>
      <w:r w:rsidR="009D2045">
        <w:t>sub</w:t>
      </w:r>
      <w:r w:rsidR="004A7555">
        <w:t>-</w:t>
      </w:r>
      <w:r w:rsidR="00DD34CC">
        <w:t>teams</w:t>
      </w:r>
      <w:r>
        <w:t xml:space="preserve">. The one on temperature recording of process </w:t>
      </w:r>
      <w:r w:rsidR="003F6ABB">
        <w:t xml:space="preserve">solutions only has one </w:t>
      </w:r>
      <w:r w:rsidR="00F3210E">
        <w:t>S</w:t>
      </w:r>
      <w:r w:rsidR="003F6ABB">
        <w:t>upplier</w:t>
      </w:r>
      <w:r w:rsidR="004A7555">
        <w:t xml:space="preserve"> -</w:t>
      </w:r>
      <w:r w:rsidR="003F6ABB">
        <w:t xml:space="preserve"> </w:t>
      </w:r>
      <w:r w:rsidR="003F6ABB" w:rsidRPr="004A7555">
        <w:t xml:space="preserve">Charles Costello </w:t>
      </w:r>
      <w:r w:rsidR="004A7555">
        <w:t>volunteered</w:t>
      </w:r>
      <w:r w:rsidR="004A7555" w:rsidRPr="004A7555">
        <w:t xml:space="preserve"> </w:t>
      </w:r>
      <w:r w:rsidR="003F6ABB" w:rsidRPr="004A7555">
        <w:t xml:space="preserve">to be on </w:t>
      </w:r>
      <w:r w:rsidR="004A7555">
        <w:t>this</w:t>
      </w:r>
      <w:r w:rsidR="004A7555" w:rsidRPr="004A7555">
        <w:t xml:space="preserve"> </w:t>
      </w:r>
      <w:r w:rsidR="003F6ABB" w:rsidRPr="004A7555">
        <w:t>team.</w:t>
      </w:r>
    </w:p>
    <w:p w:rsidR="009312D1" w:rsidRDefault="004A7555" w:rsidP="004A7555">
      <w:pPr>
        <w:pStyle w:val="ActionItem"/>
      </w:pPr>
      <w:r>
        <w:t>Action Item: Nigel Cook to add Charles Costello to the sub-team on solution temperature recording (Due Date: 18-Nov-2016).</w:t>
      </w:r>
    </w:p>
    <w:p w:rsidR="004F4BE7" w:rsidRDefault="004F4BE7" w:rsidP="004F4BE7">
      <w:pPr>
        <w:pStyle w:val="Heading1"/>
      </w:pPr>
      <w:r w:rsidRPr="004F4BE7">
        <w:t>Develop Agenda</w:t>
      </w:r>
    </w:p>
    <w:p w:rsidR="004F4BE7" w:rsidRDefault="00A57FD3" w:rsidP="004F4BE7">
      <w:pPr>
        <w:pStyle w:val="Body"/>
      </w:pPr>
      <w:r>
        <w:t xml:space="preserve">These minutes will </w:t>
      </w:r>
      <w:r w:rsidR="00CB568F">
        <w:t>form</w:t>
      </w:r>
      <w:r>
        <w:t xml:space="preserve"> the basis of the agenda for the next meeting</w:t>
      </w:r>
      <w:r w:rsidR="004F4BE7">
        <w:t>.</w:t>
      </w:r>
    </w:p>
    <w:p w:rsidR="004F4BE7" w:rsidRPr="004F4BE7" w:rsidRDefault="004F4BE7" w:rsidP="004F4BE7">
      <w:pPr>
        <w:pStyle w:val="Body"/>
      </w:pPr>
      <w:r>
        <w:t xml:space="preserve">Any requests for </w:t>
      </w:r>
      <w:r w:rsidR="00A57FD3">
        <w:t xml:space="preserve">additional </w:t>
      </w:r>
      <w:r w:rsidR="004C63B8">
        <w:t xml:space="preserve">agenda </w:t>
      </w:r>
      <w:r>
        <w:t>items to be sent to Mike Noettl and Nigel Cook.</w:t>
      </w:r>
    </w:p>
    <w:p w:rsidR="004F4BE7" w:rsidRPr="00F9308D" w:rsidRDefault="004F4BE7">
      <w:pPr>
        <w:pStyle w:val="Body"/>
      </w:pPr>
      <w:r>
        <w:t>MEETING ADJOURNED</w:t>
      </w:r>
      <w:r w:rsidR="004506E5">
        <w:t>.</w:t>
      </w:r>
    </w:p>
    <w:sectPr w:rsidR="004F4BE7" w:rsidRPr="00F9308D" w:rsidSect="00B9315F">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29" w:rsidRDefault="00062A29" w:rsidP="00FC3F1E">
      <w:pPr>
        <w:spacing w:after="0"/>
      </w:pPr>
      <w:r>
        <w:separator/>
      </w:r>
    </w:p>
  </w:endnote>
  <w:endnote w:type="continuationSeparator" w:id="0">
    <w:p w:rsidR="00062A29" w:rsidRDefault="00062A29"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51" w:rsidRDefault="001E3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51" w:rsidRDefault="001E3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51" w:rsidRDefault="001E3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29" w:rsidRDefault="00062A29" w:rsidP="00FC3F1E">
      <w:pPr>
        <w:spacing w:after="0"/>
      </w:pPr>
      <w:r>
        <w:separator/>
      </w:r>
    </w:p>
  </w:footnote>
  <w:footnote w:type="continuationSeparator" w:id="0">
    <w:p w:rsidR="00062A29" w:rsidRDefault="00062A29"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82" w:rsidRDefault="007470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970" o:spid="_x0000_s2057" type="#_x0000_t136" style="position:absolute;left:0;text-align:left;margin-left:0;margin-top:0;width:558.35pt;height:101.5pt;rotation:315;z-index:-25164800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82" w:rsidRPr="007E6FBB" w:rsidRDefault="007470E6" w:rsidP="008636AD">
    <w:pPr>
      <w:pStyle w:val="Header"/>
      <w:rPr>
        <w:rFonts w:eastAsia="Calibri"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971" o:spid="_x0000_s2058" type="#_x0000_t136" style="position:absolute;left:0;text-align:left;margin-left:0;margin-top:0;width:558.35pt;height:101.5pt;rotation:315;z-index:-251645952;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BD4282">
      <w:rPr>
        <w:noProof/>
      </w:rPr>
      <w:drawing>
        <wp:anchor distT="0" distB="0" distL="114300" distR="114300" simplePos="0" relativeHeight="251664384" behindDoc="0" locked="0" layoutInCell="1" allowOverlap="1" wp14:anchorId="6F46B0B2" wp14:editId="6F46B0B3">
          <wp:simplePos x="0" y="0"/>
          <wp:positionH relativeFrom="column">
            <wp:posOffset>-781049</wp:posOffset>
          </wp:positionH>
          <wp:positionV relativeFrom="paragraph">
            <wp:posOffset>-314325</wp:posOffset>
          </wp:positionV>
          <wp:extent cx="2057400" cy="8036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BD4282" w:rsidRPr="007E6FBB">
      <w:rPr>
        <w:rFonts w:eastAsia="Calibri" w:cs="Times New Roman"/>
      </w:rPr>
      <w:t>CHEMICAL PROCESSING</w:t>
    </w:r>
    <w:r w:rsidR="00BD4282">
      <w:rPr>
        <w:rFonts w:eastAsia="Calibri" w:cs="Times New Roman"/>
      </w:rPr>
      <w:t xml:space="preserve"> </w:t>
    </w:r>
    <w:r w:rsidR="00BF707F">
      <w:rPr>
        <w:rFonts w:eastAsia="Calibri" w:cs="Times New Roman"/>
      </w:rPr>
      <w:t>– SUPPLIER ACTION TEAM</w:t>
    </w:r>
    <w:r w:rsidR="003802FC">
      <w:rPr>
        <w:rFonts w:eastAsia="Calibri" w:cs="Times New Roman"/>
      </w:rPr>
      <w:t xml:space="preserve"> (CP-SAT)</w:t>
    </w:r>
  </w:p>
  <w:p w:rsidR="00BD4282" w:rsidRPr="007E6FBB" w:rsidRDefault="00744344" w:rsidP="008636AD">
    <w:pPr>
      <w:pStyle w:val="Header"/>
      <w:rPr>
        <w:rFonts w:eastAsia="Calibri" w:cs="Times New Roman"/>
      </w:rPr>
    </w:pPr>
    <w:r>
      <w:rPr>
        <w:rFonts w:eastAsia="Calibri" w:cs="Times New Roman"/>
      </w:rPr>
      <w:t xml:space="preserve">OCTOBER </w:t>
    </w:r>
    <w:r w:rsidR="00B32583">
      <w:rPr>
        <w:rFonts w:eastAsia="Calibri" w:cs="Times New Roman"/>
      </w:rPr>
      <w:t>2016</w:t>
    </w:r>
  </w:p>
  <w:p w:rsidR="00BD4282" w:rsidRPr="007E6FBB" w:rsidRDefault="00BD4282" w:rsidP="008636AD">
    <w:pPr>
      <w:suppressLineNumbers/>
      <w:tabs>
        <w:tab w:val="center" w:pos="4680"/>
        <w:tab w:val="right" w:pos="9360"/>
      </w:tabs>
      <w:suppressAutoHyphens/>
      <w:autoSpaceDN w:val="0"/>
      <w:spacing w:after="0"/>
      <w:jc w:val="right"/>
      <w:textAlignment w:val="baseline"/>
      <w:rPr>
        <w:rFonts w:eastAsia="Calibri" w:cs="Times New Roman"/>
        <w:b/>
      </w:rPr>
    </w:pPr>
    <w:r w:rsidRPr="007E6FBB">
      <w:rPr>
        <w:rFonts w:eastAsia="Calibri" w:cs="Times New Roman"/>
        <w:b/>
      </w:rPr>
      <w:t>CONFIRMED</w:t>
    </w:r>
  </w:p>
  <w:p w:rsidR="00BD4282" w:rsidRDefault="00BD4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282" w:rsidRDefault="007470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969" o:spid="_x0000_s2056" type="#_x0000_t136" style="position:absolute;left:0;text-align:left;margin-left:0;margin-top:0;width:558.35pt;height:101.5pt;rotation:315;z-index:-25165004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77B"/>
    <w:multiLevelType w:val="hybridMultilevel"/>
    <w:tmpl w:val="F4DEAE58"/>
    <w:lvl w:ilvl="0" w:tplc="2E12E608">
      <w:start w:val="2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E1413"/>
    <w:multiLevelType w:val="hybridMultilevel"/>
    <w:tmpl w:val="7E3AF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E2B9F"/>
    <w:multiLevelType w:val="hybridMultilevel"/>
    <w:tmpl w:val="FC5CDA2E"/>
    <w:lvl w:ilvl="0" w:tplc="FEC69A5E">
      <w:start w:val="27"/>
      <w:numFmt w:val="bullet"/>
      <w:lvlText w:val="-"/>
      <w:lvlJc w:val="left"/>
      <w:pPr>
        <w:ind w:left="1080" w:hanging="360"/>
      </w:pPr>
      <w:rPr>
        <w:rFonts w:ascii="Arial" w:eastAsiaTheme="minorHAnsi"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35E4E"/>
    <w:multiLevelType w:val="hybridMultilevel"/>
    <w:tmpl w:val="4AFABC54"/>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 w15:restartNumberingAfterBreak="0">
    <w:nsid w:val="22E14D3C"/>
    <w:multiLevelType w:val="hybridMultilevel"/>
    <w:tmpl w:val="95DC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F5388"/>
    <w:multiLevelType w:val="hybridMultilevel"/>
    <w:tmpl w:val="9B7ED66A"/>
    <w:lvl w:ilvl="0" w:tplc="48067640">
      <w:start w:val="1"/>
      <w:numFmt w:val="bullet"/>
      <w:lvlText w:val="•"/>
      <w:lvlJc w:val="left"/>
      <w:pPr>
        <w:tabs>
          <w:tab w:val="num" w:pos="720"/>
        </w:tabs>
        <w:ind w:left="720" w:hanging="360"/>
      </w:pPr>
      <w:rPr>
        <w:rFonts w:ascii="Arial" w:hAnsi="Arial" w:hint="default"/>
      </w:rPr>
    </w:lvl>
    <w:lvl w:ilvl="1" w:tplc="F5601ED0" w:tentative="1">
      <w:start w:val="1"/>
      <w:numFmt w:val="bullet"/>
      <w:lvlText w:val="•"/>
      <w:lvlJc w:val="left"/>
      <w:pPr>
        <w:tabs>
          <w:tab w:val="num" w:pos="1440"/>
        </w:tabs>
        <w:ind w:left="1440" w:hanging="360"/>
      </w:pPr>
      <w:rPr>
        <w:rFonts w:ascii="Arial" w:hAnsi="Arial" w:hint="default"/>
      </w:rPr>
    </w:lvl>
    <w:lvl w:ilvl="2" w:tplc="7CE61EB4" w:tentative="1">
      <w:start w:val="1"/>
      <w:numFmt w:val="bullet"/>
      <w:lvlText w:val="•"/>
      <w:lvlJc w:val="left"/>
      <w:pPr>
        <w:tabs>
          <w:tab w:val="num" w:pos="2160"/>
        </w:tabs>
        <w:ind w:left="2160" w:hanging="360"/>
      </w:pPr>
      <w:rPr>
        <w:rFonts w:ascii="Arial" w:hAnsi="Arial" w:hint="default"/>
      </w:rPr>
    </w:lvl>
    <w:lvl w:ilvl="3" w:tplc="5B1E1C14" w:tentative="1">
      <w:start w:val="1"/>
      <w:numFmt w:val="bullet"/>
      <w:lvlText w:val="•"/>
      <w:lvlJc w:val="left"/>
      <w:pPr>
        <w:tabs>
          <w:tab w:val="num" w:pos="2880"/>
        </w:tabs>
        <w:ind w:left="2880" w:hanging="360"/>
      </w:pPr>
      <w:rPr>
        <w:rFonts w:ascii="Arial" w:hAnsi="Arial" w:hint="default"/>
      </w:rPr>
    </w:lvl>
    <w:lvl w:ilvl="4" w:tplc="9F981DAA" w:tentative="1">
      <w:start w:val="1"/>
      <w:numFmt w:val="bullet"/>
      <w:lvlText w:val="•"/>
      <w:lvlJc w:val="left"/>
      <w:pPr>
        <w:tabs>
          <w:tab w:val="num" w:pos="3600"/>
        </w:tabs>
        <w:ind w:left="3600" w:hanging="360"/>
      </w:pPr>
      <w:rPr>
        <w:rFonts w:ascii="Arial" w:hAnsi="Arial" w:hint="default"/>
      </w:rPr>
    </w:lvl>
    <w:lvl w:ilvl="5" w:tplc="8286EF4E" w:tentative="1">
      <w:start w:val="1"/>
      <w:numFmt w:val="bullet"/>
      <w:lvlText w:val="•"/>
      <w:lvlJc w:val="left"/>
      <w:pPr>
        <w:tabs>
          <w:tab w:val="num" w:pos="4320"/>
        </w:tabs>
        <w:ind w:left="4320" w:hanging="360"/>
      </w:pPr>
      <w:rPr>
        <w:rFonts w:ascii="Arial" w:hAnsi="Arial" w:hint="default"/>
      </w:rPr>
    </w:lvl>
    <w:lvl w:ilvl="6" w:tplc="30DCB946" w:tentative="1">
      <w:start w:val="1"/>
      <w:numFmt w:val="bullet"/>
      <w:lvlText w:val="•"/>
      <w:lvlJc w:val="left"/>
      <w:pPr>
        <w:tabs>
          <w:tab w:val="num" w:pos="5040"/>
        </w:tabs>
        <w:ind w:left="5040" w:hanging="360"/>
      </w:pPr>
      <w:rPr>
        <w:rFonts w:ascii="Arial" w:hAnsi="Arial" w:hint="default"/>
      </w:rPr>
    </w:lvl>
    <w:lvl w:ilvl="7" w:tplc="3050DAE2" w:tentative="1">
      <w:start w:val="1"/>
      <w:numFmt w:val="bullet"/>
      <w:lvlText w:val="•"/>
      <w:lvlJc w:val="left"/>
      <w:pPr>
        <w:tabs>
          <w:tab w:val="num" w:pos="5760"/>
        </w:tabs>
        <w:ind w:left="5760" w:hanging="360"/>
      </w:pPr>
      <w:rPr>
        <w:rFonts w:ascii="Arial" w:hAnsi="Arial" w:hint="default"/>
      </w:rPr>
    </w:lvl>
    <w:lvl w:ilvl="8" w:tplc="BC4C2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8D7B6B"/>
    <w:multiLevelType w:val="hybridMultilevel"/>
    <w:tmpl w:val="F276286E"/>
    <w:lvl w:ilvl="0" w:tplc="9176CD64">
      <w:start w:val="1"/>
      <w:numFmt w:val="bullet"/>
      <w:lvlText w:val="•"/>
      <w:lvlJc w:val="left"/>
      <w:pPr>
        <w:tabs>
          <w:tab w:val="num" w:pos="720"/>
        </w:tabs>
        <w:ind w:left="720" w:hanging="360"/>
      </w:pPr>
      <w:rPr>
        <w:rFonts w:ascii="Arial" w:hAnsi="Arial" w:hint="default"/>
      </w:rPr>
    </w:lvl>
    <w:lvl w:ilvl="1" w:tplc="239A3028" w:tentative="1">
      <w:start w:val="1"/>
      <w:numFmt w:val="bullet"/>
      <w:lvlText w:val="•"/>
      <w:lvlJc w:val="left"/>
      <w:pPr>
        <w:tabs>
          <w:tab w:val="num" w:pos="1440"/>
        </w:tabs>
        <w:ind w:left="1440" w:hanging="360"/>
      </w:pPr>
      <w:rPr>
        <w:rFonts w:ascii="Arial" w:hAnsi="Arial" w:hint="default"/>
      </w:rPr>
    </w:lvl>
    <w:lvl w:ilvl="2" w:tplc="F4A62892" w:tentative="1">
      <w:start w:val="1"/>
      <w:numFmt w:val="bullet"/>
      <w:lvlText w:val="•"/>
      <w:lvlJc w:val="left"/>
      <w:pPr>
        <w:tabs>
          <w:tab w:val="num" w:pos="2160"/>
        </w:tabs>
        <w:ind w:left="2160" w:hanging="360"/>
      </w:pPr>
      <w:rPr>
        <w:rFonts w:ascii="Arial" w:hAnsi="Arial" w:hint="default"/>
      </w:rPr>
    </w:lvl>
    <w:lvl w:ilvl="3" w:tplc="EB20E870" w:tentative="1">
      <w:start w:val="1"/>
      <w:numFmt w:val="bullet"/>
      <w:lvlText w:val="•"/>
      <w:lvlJc w:val="left"/>
      <w:pPr>
        <w:tabs>
          <w:tab w:val="num" w:pos="2880"/>
        </w:tabs>
        <w:ind w:left="2880" w:hanging="360"/>
      </w:pPr>
      <w:rPr>
        <w:rFonts w:ascii="Arial" w:hAnsi="Arial" w:hint="default"/>
      </w:rPr>
    </w:lvl>
    <w:lvl w:ilvl="4" w:tplc="BC1E675E" w:tentative="1">
      <w:start w:val="1"/>
      <w:numFmt w:val="bullet"/>
      <w:lvlText w:val="•"/>
      <w:lvlJc w:val="left"/>
      <w:pPr>
        <w:tabs>
          <w:tab w:val="num" w:pos="3600"/>
        </w:tabs>
        <w:ind w:left="3600" w:hanging="360"/>
      </w:pPr>
      <w:rPr>
        <w:rFonts w:ascii="Arial" w:hAnsi="Arial" w:hint="default"/>
      </w:rPr>
    </w:lvl>
    <w:lvl w:ilvl="5" w:tplc="F5962432" w:tentative="1">
      <w:start w:val="1"/>
      <w:numFmt w:val="bullet"/>
      <w:lvlText w:val="•"/>
      <w:lvlJc w:val="left"/>
      <w:pPr>
        <w:tabs>
          <w:tab w:val="num" w:pos="4320"/>
        </w:tabs>
        <w:ind w:left="4320" w:hanging="360"/>
      </w:pPr>
      <w:rPr>
        <w:rFonts w:ascii="Arial" w:hAnsi="Arial" w:hint="default"/>
      </w:rPr>
    </w:lvl>
    <w:lvl w:ilvl="6" w:tplc="10A008AC" w:tentative="1">
      <w:start w:val="1"/>
      <w:numFmt w:val="bullet"/>
      <w:lvlText w:val="•"/>
      <w:lvlJc w:val="left"/>
      <w:pPr>
        <w:tabs>
          <w:tab w:val="num" w:pos="5040"/>
        </w:tabs>
        <w:ind w:left="5040" w:hanging="360"/>
      </w:pPr>
      <w:rPr>
        <w:rFonts w:ascii="Arial" w:hAnsi="Arial" w:hint="default"/>
      </w:rPr>
    </w:lvl>
    <w:lvl w:ilvl="7" w:tplc="0B44A476" w:tentative="1">
      <w:start w:val="1"/>
      <w:numFmt w:val="bullet"/>
      <w:lvlText w:val="•"/>
      <w:lvlJc w:val="left"/>
      <w:pPr>
        <w:tabs>
          <w:tab w:val="num" w:pos="5760"/>
        </w:tabs>
        <w:ind w:left="5760" w:hanging="360"/>
      </w:pPr>
      <w:rPr>
        <w:rFonts w:ascii="Arial" w:hAnsi="Arial" w:hint="default"/>
      </w:rPr>
    </w:lvl>
    <w:lvl w:ilvl="8" w:tplc="B66020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414B1D"/>
    <w:multiLevelType w:val="hybridMultilevel"/>
    <w:tmpl w:val="FCD4F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5F7711"/>
    <w:multiLevelType w:val="multilevel"/>
    <w:tmpl w:val="1EF2780A"/>
    <w:lvl w:ilvl="0">
      <w:start w:val="1"/>
      <w:numFmt w:val="decimal"/>
      <w:pStyle w:val="Heading1"/>
      <w:lvlText w:val="%1.0"/>
      <w:lvlJc w:val="left"/>
      <w:pPr>
        <w:tabs>
          <w:tab w:val="num" w:pos="1170"/>
        </w:tabs>
        <w:ind w:left="1170" w:hanging="720"/>
      </w:pPr>
      <w:rPr>
        <w:rFonts w:hint="default"/>
        <w:b/>
      </w:rPr>
    </w:lvl>
    <w:lvl w:ilvl="1">
      <w:start w:val="1"/>
      <w:numFmt w:val="decimal"/>
      <w:pStyle w:val="Heading2"/>
      <w:lvlText w:val="%1.%2"/>
      <w:lvlJc w:val="left"/>
      <w:pPr>
        <w:tabs>
          <w:tab w:val="num" w:pos="1222"/>
        </w:tabs>
        <w:ind w:left="862"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9" w15:restartNumberingAfterBreak="0">
    <w:nsid w:val="44570D42"/>
    <w:multiLevelType w:val="hybridMultilevel"/>
    <w:tmpl w:val="A5D0C5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9B57FB"/>
    <w:multiLevelType w:val="hybridMultilevel"/>
    <w:tmpl w:val="2782F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E858DE"/>
    <w:multiLevelType w:val="hybridMultilevel"/>
    <w:tmpl w:val="008A0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2E43ABC"/>
    <w:multiLevelType w:val="hybridMultilevel"/>
    <w:tmpl w:val="0C08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B60D8"/>
    <w:multiLevelType w:val="hybridMultilevel"/>
    <w:tmpl w:val="082E1F1A"/>
    <w:lvl w:ilvl="0" w:tplc="B15A7666">
      <w:start w:val="1"/>
      <w:numFmt w:val="bullet"/>
      <w:lvlText w:val="•"/>
      <w:lvlJc w:val="left"/>
      <w:pPr>
        <w:tabs>
          <w:tab w:val="num" w:pos="720"/>
        </w:tabs>
        <w:ind w:left="720" w:hanging="360"/>
      </w:pPr>
      <w:rPr>
        <w:rFonts w:ascii="Arial" w:hAnsi="Arial" w:hint="default"/>
      </w:rPr>
    </w:lvl>
    <w:lvl w:ilvl="1" w:tplc="9FEEFBD8" w:tentative="1">
      <w:start w:val="1"/>
      <w:numFmt w:val="bullet"/>
      <w:lvlText w:val="•"/>
      <w:lvlJc w:val="left"/>
      <w:pPr>
        <w:tabs>
          <w:tab w:val="num" w:pos="1440"/>
        </w:tabs>
        <w:ind w:left="1440" w:hanging="360"/>
      </w:pPr>
      <w:rPr>
        <w:rFonts w:ascii="Arial" w:hAnsi="Arial" w:hint="default"/>
      </w:rPr>
    </w:lvl>
    <w:lvl w:ilvl="2" w:tplc="13BC57C6" w:tentative="1">
      <w:start w:val="1"/>
      <w:numFmt w:val="bullet"/>
      <w:lvlText w:val="•"/>
      <w:lvlJc w:val="left"/>
      <w:pPr>
        <w:tabs>
          <w:tab w:val="num" w:pos="2160"/>
        </w:tabs>
        <w:ind w:left="2160" w:hanging="360"/>
      </w:pPr>
      <w:rPr>
        <w:rFonts w:ascii="Arial" w:hAnsi="Arial" w:hint="default"/>
      </w:rPr>
    </w:lvl>
    <w:lvl w:ilvl="3" w:tplc="D18C9B04" w:tentative="1">
      <w:start w:val="1"/>
      <w:numFmt w:val="bullet"/>
      <w:lvlText w:val="•"/>
      <w:lvlJc w:val="left"/>
      <w:pPr>
        <w:tabs>
          <w:tab w:val="num" w:pos="2880"/>
        </w:tabs>
        <w:ind w:left="2880" w:hanging="360"/>
      </w:pPr>
      <w:rPr>
        <w:rFonts w:ascii="Arial" w:hAnsi="Arial" w:hint="default"/>
      </w:rPr>
    </w:lvl>
    <w:lvl w:ilvl="4" w:tplc="86AE31E2" w:tentative="1">
      <w:start w:val="1"/>
      <w:numFmt w:val="bullet"/>
      <w:lvlText w:val="•"/>
      <w:lvlJc w:val="left"/>
      <w:pPr>
        <w:tabs>
          <w:tab w:val="num" w:pos="3600"/>
        </w:tabs>
        <w:ind w:left="3600" w:hanging="360"/>
      </w:pPr>
      <w:rPr>
        <w:rFonts w:ascii="Arial" w:hAnsi="Arial" w:hint="default"/>
      </w:rPr>
    </w:lvl>
    <w:lvl w:ilvl="5" w:tplc="FC68C830" w:tentative="1">
      <w:start w:val="1"/>
      <w:numFmt w:val="bullet"/>
      <w:lvlText w:val="•"/>
      <w:lvlJc w:val="left"/>
      <w:pPr>
        <w:tabs>
          <w:tab w:val="num" w:pos="4320"/>
        </w:tabs>
        <w:ind w:left="4320" w:hanging="360"/>
      </w:pPr>
      <w:rPr>
        <w:rFonts w:ascii="Arial" w:hAnsi="Arial" w:hint="default"/>
      </w:rPr>
    </w:lvl>
    <w:lvl w:ilvl="6" w:tplc="5FC4484E" w:tentative="1">
      <w:start w:val="1"/>
      <w:numFmt w:val="bullet"/>
      <w:lvlText w:val="•"/>
      <w:lvlJc w:val="left"/>
      <w:pPr>
        <w:tabs>
          <w:tab w:val="num" w:pos="5040"/>
        </w:tabs>
        <w:ind w:left="5040" w:hanging="360"/>
      </w:pPr>
      <w:rPr>
        <w:rFonts w:ascii="Arial" w:hAnsi="Arial" w:hint="default"/>
      </w:rPr>
    </w:lvl>
    <w:lvl w:ilvl="7" w:tplc="4AD2D2B0" w:tentative="1">
      <w:start w:val="1"/>
      <w:numFmt w:val="bullet"/>
      <w:lvlText w:val="•"/>
      <w:lvlJc w:val="left"/>
      <w:pPr>
        <w:tabs>
          <w:tab w:val="num" w:pos="5760"/>
        </w:tabs>
        <w:ind w:left="5760" w:hanging="360"/>
      </w:pPr>
      <w:rPr>
        <w:rFonts w:ascii="Arial" w:hAnsi="Arial" w:hint="default"/>
      </w:rPr>
    </w:lvl>
    <w:lvl w:ilvl="8" w:tplc="388A71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B33DF2"/>
    <w:multiLevelType w:val="hybridMultilevel"/>
    <w:tmpl w:val="7CF2F59A"/>
    <w:lvl w:ilvl="0" w:tplc="2E12E608">
      <w:start w:val="2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F905CC"/>
    <w:multiLevelType w:val="hybridMultilevel"/>
    <w:tmpl w:val="22E28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970CA"/>
    <w:multiLevelType w:val="hybridMultilevel"/>
    <w:tmpl w:val="9F6A3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015D21"/>
    <w:multiLevelType w:val="hybridMultilevel"/>
    <w:tmpl w:val="14126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B071BB"/>
    <w:multiLevelType w:val="hybridMultilevel"/>
    <w:tmpl w:val="AA38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46418"/>
    <w:multiLevelType w:val="hybridMultilevel"/>
    <w:tmpl w:val="8F0C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6C115B"/>
    <w:multiLevelType w:val="hybridMultilevel"/>
    <w:tmpl w:val="28968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9"/>
  </w:num>
  <w:num w:numId="4">
    <w:abstractNumId w:val="11"/>
  </w:num>
  <w:num w:numId="5">
    <w:abstractNumId w:val="7"/>
  </w:num>
  <w:num w:numId="6">
    <w:abstractNumId w:val="13"/>
  </w:num>
  <w:num w:numId="7">
    <w:abstractNumId w:val="8"/>
  </w:num>
  <w:num w:numId="8">
    <w:abstractNumId w:val="21"/>
  </w:num>
  <w:num w:numId="9">
    <w:abstractNumId w:val="20"/>
  </w:num>
  <w:num w:numId="10">
    <w:abstractNumId w:val="3"/>
  </w:num>
  <w:num w:numId="11">
    <w:abstractNumId w:val="10"/>
  </w:num>
  <w:num w:numId="12">
    <w:abstractNumId w:val="17"/>
  </w:num>
  <w:num w:numId="13">
    <w:abstractNumId w:val="8"/>
  </w:num>
  <w:num w:numId="14">
    <w:abstractNumId w:val="19"/>
  </w:num>
  <w:num w:numId="15">
    <w:abstractNumId w:val="8"/>
  </w:num>
  <w:num w:numId="16">
    <w:abstractNumId w:val="15"/>
  </w:num>
  <w:num w:numId="17">
    <w:abstractNumId w:val="2"/>
  </w:num>
  <w:num w:numId="18">
    <w:abstractNumId w:val="0"/>
  </w:num>
  <w:num w:numId="19">
    <w:abstractNumId w:val="1"/>
  </w:num>
  <w:num w:numId="20">
    <w:abstractNumId w:val="4"/>
  </w:num>
  <w:num w:numId="21">
    <w:abstractNumId w:val="18"/>
  </w:num>
  <w:num w:numId="22">
    <w:abstractNumId w:val="6"/>
  </w:num>
  <w:num w:numId="23">
    <w:abstractNumId w:val="14"/>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1EBB"/>
    <w:rsid w:val="000049DB"/>
    <w:rsid w:val="00006900"/>
    <w:rsid w:val="000100A9"/>
    <w:rsid w:val="00011EA4"/>
    <w:rsid w:val="00015D4C"/>
    <w:rsid w:val="00022AB6"/>
    <w:rsid w:val="0002623A"/>
    <w:rsid w:val="00027256"/>
    <w:rsid w:val="000317D5"/>
    <w:rsid w:val="00033C7B"/>
    <w:rsid w:val="00042D73"/>
    <w:rsid w:val="00047B2A"/>
    <w:rsid w:val="00051E14"/>
    <w:rsid w:val="00051ED4"/>
    <w:rsid w:val="00055301"/>
    <w:rsid w:val="00056017"/>
    <w:rsid w:val="00060BBD"/>
    <w:rsid w:val="0006215C"/>
    <w:rsid w:val="00062A29"/>
    <w:rsid w:val="000639D9"/>
    <w:rsid w:val="000822CE"/>
    <w:rsid w:val="00086AF3"/>
    <w:rsid w:val="0009346D"/>
    <w:rsid w:val="00094633"/>
    <w:rsid w:val="000A07E6"/>
    <w:rsid w:val="000A0864"/>
    <w:rsid w:val="000A4958"/>
    <w:rsid w:val="000B231B"/>
    <w:rsid w:val="000B2790"/>
    <w:rsid w:val="000B3303"/>
    <w:rsid w:val="000B473B"/>
    <w:rsid w:val="000C0086"/>
    <w:rsid w:val="000C681B"/>
    <w:rsid w:val="000D058D"/>
    <w:rsid w:val="000D2502"/>
    <w:rsid w:val="000D52D3"/>
    <w:rsid w:val="000D7745"/>
    <w:rsid w:val="000E350C"/>
    <w:rsid w:val="000E5F63"/>
    <w:rsid w:val="000F5E20"/>
    <w:rsid w:val="001036DE"/>
    <w:rsid w:val="00103A1A"/>
    <w:rsid w:val="001068F0"/>
    <w:rsid w:val="001135DE"/>
    <w:rsid w:val="00114FCB"/>
    <w:rsid w:val="00115731"/>
    <w:rsid w:val="00115FCC"/>
    <w:rsid w:val="00116D94"/>
    <w:rsid w:val="00121FAF"/>
    <w:rsid w:val="0012238B"/>
    <w:rsid w:val="00127B79"/>
    <w:rsid w:val="00130B2A"/>
    <w:rsid w:val="00130DC5"/>
    <w:rsid w:val="001475E7"/>
    <w:rsid w:val="00147740"/>
    <w:rsid w:val="00157661"/>
    <w:rsid w:val="00161D43"/>
    <w:rsid w:val="00162E0D"/>
    <w:rsid w:val="0016612E"/>
    <w:rsid w:val="001663C3"/>
    <w:rsid w:val="00170B87"/>
    <w:rsid w:val="00177AA6"/>
    <w:rsid w:val="00182ACE"/>
    <w:rsid w:val="001840A1"/>
    <w:rsid w:val="00186640"/>
    <w:rsid w:val="001971FC"/>
    <w:rsid w:val="001A007D"/>
    <w:rsid w:val="001A1215"/>
    <w:rsid w:val="001A3F10"/>
    <w:rsid w:val="001A526C"/>
    <w:rsid w:val="001A590F"/>
    <w:rsid w:val="001A636E"/>
    <w:rsid w:val="001A7145"/>
    <w:rsid w:val="001B2C8D"/>
    <w:rsid w:val="001B2E0F"/>
    <w:rsid w:val="001B7B7D"/>
    <w:rsid w:val="001C24B4"/>
    <w:rsid w:val="001C2B71"/>
    <w:rsid w:val="001D0F1E"/>
    <w:rsid w:val="001E3551"/>
    <w:rsid w:val="001E3DC6"/>
    <w:rsid w:val="001E469C"/>
    <w:rsid w:val="001E535B"/>
    <w:rsid w:val="00202AD4"/>
    <w:rsid w:val="00213695"/>
    <w:rsid w:val="002167B7"/>
    <w:rsid w:val="002234FE"/>
    <w:rsid w:val="00223FBB"/>
    <w:rsid w:val="002266B7"/>
    <w:rsid w:val="00231248"/>
    <w:rsid w:val="00235459"/>
    <w:rsid w:val="002355D7"/>
    <w:rsid w:val="00235B5E"/>
    <w:rsid w:val="00236E4A"/>
    <w:rsid w:val="002414D8"/>
    <w:rsid w:val="002425E2"/>
    <w:rsid w:val="00243AFE"/>
    <w:rsid w:val="002443C9"/>
    <w:rsid w:val="00246D41"/>
    <w:rsid w:val="00251539"/>
    <w:rsid w:val="002529C7"/>
    <w:rsid w:val="00257855"/>
    <w:rsid w:val="00262A51"/>
    <w:rsid w:val="00264B13"/>
    <w:rsid w:val="00264F99"/>
    <w:rsid w:val="00267052"/>
    <w:rsid w:val="00272E48"/>
    <w:rsid w:val="002745E0"/>
    <w:rsid w:val="00280888"/>
    <w:rsid w:val="00284747"/>
    <w:rsid w:val="00291A5E"/>
    <w:rsid w:val="002921E3"/>
    <w:rsid w:val="0029302F"/>
    <w:rsid w:val="002944B8"/>
    <w:rsid w:val="00296B88"/>
    <w:rsid w:val="002A182E"/>
    <w:rsid w:val="002A3E87"/>
    <w:rsid w:val="002A4FD7"/>
    <w:rsid w:val="002A515F"/>
    <w:rsid w:val="002B2743"/>
    <w:rsid w:val="002C0219"/>
    <w:rsid w:val="002C409B"/>
    <w:rsid w:val="002D0308"/>
    <w:rsid w:val="002D28BF"/>
    <w:rsid w:val="002D5813"/>
    <w:rsid w:val="002E3D05"/>
    <w:rsid w:val="002F4760"/>
    <w:rsid w:val="002F6D1C"/>
    <w:rsid w:val="002F7272"/>
    <w:rsid w:val="00302394"/>
    <w:rsid w:val="003033CB"/>
    <w:rsid w:val="00311E8A"/>
    <w:rsid w:val="00314261"/>
    <w:rsid w:val="00314AB5"/>
    <w:rsid w:val="00316162"/>
    <w:rsid w:val="00330779"/>
    <w:rsid w:val="003313BA"/>
    <w:rsid w:val="0033431F"/>
    <w:rsid w:val="0033749F"/>
    <w:rsid w:val="00340D86"/>
    <w:rsid w:val="00342EBD"/>
    <w:rsid w:val="003434D4"/>
    <w:rsid w:val="0034391C"/>
    <w:rsid w:val="003620C6"/>
    <w:rsid w:val="00364C8B"/>
    <w:rsid w:val="00372C63"/>
    <w:rsid w:val="00375B74"/>
    <w:rsid w:val="003802FC"/>
    <w:rsid w:val="003828A7"/>
    <w:rsid w:val="00383C6F"/>
    <w:rsid w:val="003847F9"/>
    <w:rsid w:val="0038661D"/>
    <w:rsid w:val="00386B24"/>
    <w:rsid w:val="00391F2D"/>
    <w:rsid w:val="003A49E4"/>
    <w:rsid w:val="003A4EA2"/>
    <w:rsid w:val="003A6338"/>
    <w:rsid w:val="003B0728"/>
    <w:rsid w:val="003B5FCD"/>
    <w:rsid w:val="003D4DBA"/>
    <w:rsid w:val="003D6E23"/>
    <w:rsid w:val="003D7FBE"/>
    <w:rsid w:val="003F1F5B"/>
    <w:rsid w:val="003F4BAD"/>
    <w:rsid w:val="003F5A2B"/>
    <w:rsid w:val="003F6ABB"/>
    <w:rsid w:val="003F711A"/>
    <w:rsid w:val="00407D70"/>
    <w:rsid w:val="00410F32"/>
    <w:rsid w:val="004120A3"/>
    <w:rsid w:val="00416650"/>
    <w:rsid w:val="00420B83"/>
    <w:rsid w:val="004218E3"/>
    <w:rsid w:val="004256DB"/>
    <w:rsid w:val="0042578B"/>
    <w:rsid w:val="004317C1"/>
    <w:rsid w:val="004323E3"/>
    <w:rsid w:val="00437DDA"/>
    <w:rsid w:val="004428CA"/>
    <w:rsid w:val="0044319A"/>
    <w:rsid w:val="0044656D"/>
    <w:rsid w:val="004474F3"/>
    <w:rsid w:val="004504FE"/>
    <w:rsid w:val="004506E5"/>
    <w:rsid w:val="004560F6"/>
    <w:rsid w:val="00464007"/>
    <w:rsid w:val="0046467A"/>
    <w:rsid w:val="0046656D"/>
    <w:rsid w:val="00471518"/>
    <w:rsid w:val="0047276D"/>
    <w:rsid w:val="00475962"/>
    <w:rsid w:val="004761D5"/>
    <w:rsid w:val="00477BED"/>
    <w:rsid w:val="00480E75"/>
    <w:rsid w:val="004834DA"/>
    <w:rsid w:val="00490BA7"/>
    <w:rsid w:val="00491780"/>
    <w:rsid w:val="004924B8"/>
    <w:rsid w:val="004955DC"/>
    <w:rsid w:val="00497BD0"/>
    <w:rsid w:val="004A0807"/>
    <w:rsid w:val="004A0B06"/>
    <w:rsid w:val="004A2A5F"/>
    <w:rsid w:val="004A7555"/>
    <w:rsid w:val="004B36ED"/>
    <w:rsid w:val="004B5114"/>
    <w:rsid w:val="004B7C0F"/>
    <w:rsid w:val="004B7F77"/>
    <w:rsid w:val="004C099E"/>
    <w:rsid w:val="004C157A"/>
    <w:rsid w:val="004C5515"/>
    <w:rsid w:val="004C60E0"/>
    <w:rsid w:val="004C63B8"/>
    <w:rsid w:val="004D2E91"/>
    <w:rsid w:val="004D675F"/>
    <w:rsid w:val="004E08A4"/>
    <w:rsid w:val="004E0CB5"/>
    <w:rsid w:val="004E4C79"/>
    <w:rsid w:val="004F12D8"/>
    <w:rsid w:val="004F4BE7"/>
    <w:rsid w:val="00500551"/>
    <w:rsid w:val="00503229"/>
    <w:rsid w:val="005055DF"/>
    <w:rsid w:val="00506EE2"/>
    <w:rsid w:val="0051278E"/>
    <w:rsid w:val="005136D1"/>
    <w:rsid w:val="00516CBC"/>
    <w:rsid w:val="00520331"/>
    <w:rsid w:val="00525DA7"/>
    <w:rsid w:val="00530147"/>
    <w:rsid w:val="005334A0"/>
    <w:rsid w:val="00534480"/>
    <w:rsid w:val="00535476"/>
    <w:rsid w:val="00542701"/>
    <w:rsid w:val="005431B9"/>
    <w:rsid w:val="00544F3A"/>
    <w:rsid w:val="00547AAA"/>
    <w:rsid w:val="00551134"/>
    <w:rsid w:val="00551904"/>
    <w:rsid w:val="00552EC0"/>
    <w:rsid w:val="00557EE1"/>
    <w:rsid w:val="00564095"/>
    <w:rsid w:val="0056411B"/>
    <w:rsid w:val="0056761E"/>
    <w:rsid w:val="005777C7"/>
    <w:rsid w:val="0058189A"/>
    <w:rsid w:val="0058563D"/>
    <w:rsid w:val="00594623"/>
    <w:rsid w:val="005A0D1A"/>
    <w:rsid w:val="005A2C6A"/>
    <w:rsid w:val="005A61A6"/>
    <w:rsid w:val="005B5FAE"/>
    <w:rsid w:val="005B6A6F"/>
    <w:rsid w:val="005C1431"/>
    <w:rsid w:val="005C2AC7"/>
    <w:rsid w:val="005D2621"/>
    <w:rsid w:val="005D26B5"/>
    <w:rsid w:val="005D2903"/>
    <w:rsid w:val="005E29A8"/>
    <w:rsid w:val="005E31AD"/>
    <w:rsid w:val="005E35D4"/>
    <w:rsid w:val="005E39C5"/>
    <w:rsid w:val="005E7FDD"/>
    <w:rsid w:val="005F22B6"/>
    <w:rsid w:val="005F22FA"/>
    <w:rsid w:val="005F5A89"/>
    <w:rsid w:val="005F6053"/>
    <w:rsid w:val="0060380C"/>
    <w:rsid w:val="00605123"/>
    <w:rsid w:val="006175FC"/>
    <w:rsid w:val="00621DB1"/>
    <w:rsid w:val="00626100"/>
    <w:rsid w:val="00626647"/>
    <w:rsid w:val="00632DA0"/>
    <w:rsid w:val="0063591D"/>
    <w:rsid w:val="00642EE7"/>
    <w:rsid w:val="00651998"/>
    <w:rsid w:val="006520BF"/>
    <w:rsid w:val="00652716"/>
    <w:rsid w:val="00656558"/>
    <w:rsid w:val="0065733F"/>
    <w:rsid w:val="0066016F"/>
    <w:rsid w:val="006636C5"/>
    <w:rsid w:val="006739CA"/>
    <w:rsid w:val="00673EBE"/>
    <w:rsid w:val="0067436F"/>
    <w:rsid w:val="00682FCE"/>
    <w:rsid w:val="00683201"/>
    <w:rsid w:val="0068564E"/>
    <w:rsid w:val="00691347"/>
    <w:rsid w:val="00693DCF"/>
    <w:rsid w:val="006967A3"/>
    <w:rsid w:val="006A29FA"/>
    <w:rsid w:val="006C1AD6"/>
    <w:rsid w:val="006C1E89"/>
    <w:rsid w:val="006C6787"/>
    <w:rsid w:val="006D0EC9"/>
    <w:rsid w:val="006E0883"/>
    <w:rsid w:val="006E12DA"/>
    <w:rsid w:val="006E5355"/>
    <w:rsid w:val="006E68A7"/>
    <w:rsid w:val="006F1581"/>
    <w:rsid w:val="006F1BEA"/>
    <w:rsid w:val="007018D8"/>
    <w:rsid w:val="00701977"/>
    <w:rsid w:val="00705CC5"/>
    <w:rsid w:val="00711F56"/>
    <w:rsid w:val="0071445C"/>
    <w:rsid w:val="00722712"/>
    <w:rsid w:val="00724289"/>
    <w:rsid w:val="00725A16"/>
    <w:rsid w:val="0072739C"/>
    <w:rsid w:val="00727DF3"/>
    <w:rsid w:val="00730A5D"/>
    <w:rsid w:val="00731853"/>
    <w:rsid w:val="00731C2B"/>
    <w:rsid w:val="00734877"/>
    <w:rsid w:val="00737837"/>
    <w:rsid w:val="00744344"/>
    <w:rsid w:val="0074565B"/>
    <w:rsid w:val="007470E6"/>
    <w:rsid w:val="00747C4C"/>
    <w:rsid w:val="00747F94"/>
    <w:rsid w:val="007522DE"/>
    <w:rsid w:val="00757B77"/>
    <w:rsid w:val="007713A4"/>
    <w:rsid w:val="0077341C"/>
    <w:rsid w:val="007739D8"/>
    <w:rsid w:val="007825D1"/>
    <w:rsid w:val="00783237"/>
    <w:rsid w:val="0079103B"/>
    <w:rsid w:val="007A2F82"/>
    <w:rsid w:val="007A3244"/>
    <w:rsid w:val="007B0E3B"/>
    <w:rsid w:val="007B2DB9"/>
    <w:rsid w:val="007B41E0"/>
    <w:rsid w:val="007B5EDA"/>
    <w:rsid w:val="007C1425"/>
    <w:rsid w:val="007C4247"/>
    <w:rsid w:val="007C5B85"/>
    <w:rsid w:val="007D1CAA"/>
    <w:rsid w:val="007D331F"/>
    <w:rsid w:val="007D4011"/>
    <w:rsid w:val="007D7046"/>
    <w:rsid w:val="007E0807"/>
    <w:rsid w:val="007E09FF"/>
    <w:rsid w:val="007E27F8"/>
    <w:rsid w:val="007E53C2"/>
    <w:rsid w:val="007E5DB3"/>
    <w:rsid w:val="007E5E4F"/>
    <w:rsid w:val="007E7900"/>
    <w:rsid w:val="007F7E08"/>
    <w:rsid w:val="007F7E7E"/>
    <w:rsid w:val="00801B91"/>
    <w:rsid w:val="00801E4A"/>
    <w:rsid w:val="00802A63"/>
    <w:rsid w:val="00812048"/>
    <w:rsid w:val="008132B8"/>
    <w:rsid w:val="0081331B"/>
    <w:rsid w:val="00814416"/>
    <w:rsid w:val="00817661"/>
    <w:rsid w:val="00821014"/>
    <w:rsid w:val="00821329"/>
    <w:rsid w:val="00824DEF"/>
    <w:rsid w:val="00832FE0"/>
    <w:rsid w:val="00833CED"/>
    <w:rsid w:val="00834D85"/>
    <w:rsid w:val="0083633B"/>
    <w:rsid w:val="008435E1"/>
    <w:rsid w:val="00850243"/>
    <w:rsid w:val="008507A3"/>
    <w:rsid w:val="008636AD"/>
    <w:rsid w:val="008639F8"/>
    <w:rsid w:val="00865B67"/>
    <w:rsid w:val="0086688F"/>
    <w:rsid w:val="00866C8D"/>
    <w:rsid w:val="00875624"/>
    <w:rsid w:val="00891B96"/>
    <w:rsid w:val="008928E3"/>
    <w:rsid w:val="00895056"/>
    <w:rsid w:val="008A07FC"/>
    <w:rsid w:val="008A3218"/>
    <w:rsid w:val="008A4D41"/>
    <w:rsid w:val="008B2215"/>
    <w:rsid w:val="008B2B86"/>
    <w:rsid w:val="008B666F"/>
    <w:rsid w:val="008B68A2"/>
    <w:rsid w:val="008C0833"/>
    <w:rsid w:val="008C1ED9"/>
    <w:rsid w:val="008C241B"/>
    <w:rsid w:val="008C35E3"/>
    <w:rsid w:val="008C3ED4"/>
    <w:rsid w:val="008C49D7"/>
    <w:rsid w:val="008C5CE7"/>
    <w:rsid w:val="008D1EFB"/>
    <w:rsid w:val="008D4664"/>
    <w:rsid w:val="008E28DA"/>
    <w:rsid w:val="008E2E4F"/>
    <w:rsid w:val="008E42C6"/>
    <w:rsid w:val="008E661B"/>
    <w:rsid w:val="008F499D"/>
    <w:rsid w:val="008F638E"/>
    <w:rsid w:val="00901E49"/>
    <w:rsid w:val="00902592"/>
    <w:rsid w:val="00904701"/>
    <w:rsid w:val="00904B56"/>
    <w:rsid w:val="009056F7"/>
    <w:rsid w:val="00914958"/>
    <w:rsid w:val="009177F4"/>
    <w:rsid w:val="00924B3B"/>
    <w:rsid w:val="00924ED4"/>
    <w:rsid w:val="009312D1"/>
    <w:rsid w:val="00932217"/>
    <w:rsid w:val="009330F4"/>
    <w:rsid w:val="00940D25"/>
    <w:rsid w:val="00942873"/>
    <w:rsid w:val="0094688D"/>
    <w:rsid w:val="009502BE"/>
    <w:rsid w:val="009533C5"/>
    <w:rsid w:val="00955DA4"/>
    <w:rsid w:val="0095620B"/>
    <w:rsid w:val="0095653B"/>
    <w:rsid w:val="009606AB"/>
    <w:rsid w:val="0096114A"/>
    <w:rsid w:val="00963D71"/>
    <w:rsid w:val="00964915"/>
    <w:rsid w:val="00967B4F"/>
    <w:rsid w:val="009710C7"/>
    <w:rsid w:val="00971BC9"/>
    <w:rsid w:val="009767C6"/>
    <w:rsid w:val="00984117"/>
    <w:rsid w:val="009870E2"/>
    <w:rsid w:val="00990300"/>
    <w:rsid w:val="00995BEA"/>
    <w:rsid w:val="009A2E42"/>
    <w:rsid w:val="009A55A0"/>
    <w:rsid w:val="009B093C"/>
    <w:rsid w:val="009B54BB"/>
    <w:rsid w:val="009C4054"/>
    <w:rsid w:val="009C66C6"/>
    <w:rsid w:val="009D113E"/>
    <w:rsid w:val="009D18EC"/>
    <w:rsid w:val="009D1A6A"/>
    <w:rsid w:val="009D2045"/>
    <w:rsid w:val="009D6CFB"/>
    <w:rsid w:val="009D739D"/>
    <w:rsid w:val="009E3D17"/>
    <w:rsid w:val="009E55E9"/>
    <w:rsid w:val="009F0BBA"/>
    <w:rsid w:val="009F466E"/>
    <w:rsid w:val="009F73DA"/>
    <w:rsid w:val="00A014AB"/>
    <w:rsid w:val="00A02BB2"/>
    <w:rsid w:val="00A14ECF"/>
    <w:rsid w:val="00A1682D"/>
    <w:rsid w:val="00A20002"/>
    <w:rsid w:val="00A232DA"/>
    <w:rsid w:val="00A3222E"/>
    <w:rsid w:val="00A36B2A"/>
    <w:rsid w:val="00A36C90"/>
    <w:rsid w:val="00A419F8"/>
    <w:rsid w:val="00A54D41"/>
    <w:rsid w:val="00A57B5A"/>
    <w:rsid w:val="00A57FD3"/>
    <w:rsid w:val="00A6090D"/>
    <w:rsid w:val="00A60B2B"/>
    <w:rsid w:val="00A60F3E"/>
    <w:rsid w:val="00A70288"/>
    <w:rsid w:val="00A73168"/>
    <w:rsid w:val="00A7565C"/>
    <w:rsid w:val="00A81471"/>
    <w:rsid w:val="00A849D0"/>
    <w:rsid w:val="00A867F0"/>
    <w:rsid w:val="00A87F7A"/>
    <w:rsid w:val="00A91599"/>
    <w:rsid w:val="00A92C18"/>
    <w:rsid w:val="00AA3363"/>
    <w:rsid w:val="00AA5F3D"/>
    <w:rsid w:val="00AA66E8"/>
    <w:rsid w:val="00AA7FAB"/>
    <w:rsid w:val="00AB62F2"/>
    <w:rsid w:val="00AC5788"/>
    <w:rsid w:val="00AC6A7C"/>
    <w:rsid w:val="00AF28F4"/>
    <w:rsid w:val="00AF2A27"/>
    <w:rsid w:val="00AF3FE4"/>
    <w:rsid w:val="00AF50E5"/>
    <w:rsid w:val="00B07FFA"/>
    <w:rsid w:val="00B118B7"/>
    <w:rsid w:val="00B202DD"/>
    <w:rsid w:val="00B242C8"/>
    <w:rsid w:val="00B26E9C"/>
    <w:rsid w:val="00B279DC"/>
    <w:rsid w:val="00B32583"/>
    <w:rsid w:val="00B3303F"/>
    <w:rsid w:val="00B35EE7"/>
    <w:rsid w:val="00B40532"/>
    <w:rsid w:val="00B46AE9"/>
    <w:rsid w:val="00B50756"/>
    <w:rsid w:val="00B52E13"/>
    <w:rsid w:val="00B54B7A"/>
    <w:rsid w:val="00B63C0B"/>
    <w:rsid w:val="00B71337"/>
    <w:rsid w:val="00B77266"/>
    <w:rsid w:val="00B7760E"/>
    <w:rsid w:val="00B818B6"/>
    <w:rsid w:val="00B82832"/>
    <w:rsid w:val="00B83343"/>
    <w:rsid w:val="00B84339"/>
    <w:rsid w:val="00B8680E"/>
    <w:rsid w:val="00B86DDA"/>
    <w:rsid w:val="00B9315F"/>
    <w:rsid w:val="00B933BA"/>
    <w:rsid w:val="00B942A9"/>
    <w:rsid w:val="00BA1164"/>
    <w:rsid w:val="00BA157F"/>
    <w:rsid w:val="00BA3A32"/>
    <w:rsid w:val="00BA3ECE"/>
    <w:rsid w:val="00BA6A81"/>
    <w:rsid w:val="00BB15E5"/>
    <w:rsid w:val="00BB1DDF"/>
    <w:rsid w:val="00BB3E80"/>
    <w:rsid w:val="00BB5C94"/>
    <w:rsid w:val="00BB6EFD"/>
    <w:rsid w:val="00BC1B05"/>
    <w:rsid w:val="00BC416D"/>
    <w:rsid w:val="00BC56E1"/>
    <w:rsid w:val="00BD1A64"/>
    <w:rsid w:val="00BD4282"/>
    <w:rsid w:val="00BD6741"/>
    <w:rsid w:val="00BE0F95"/>
    <w:rsid w:val="00BE288D"/>
    <w:rsid w:val="00BF3095"/>
    <w:rsid w:val="00BF51E8"/>
    <w:rsid w:val="00BF624D"/>
    <w:rsid w:val="00BF707F"/>
    <w:rsid w:val="00C10ADD"/>
    <w:rsid w:val="00C112FC"/>
    <w:rsid w:val="00C11465"/>
    <w:rsid w:val="00C123C0"/>
    <w:rsid w:val="00C15693"/>
    <w:rsid w:val="00C2064E"/>
    <w:rsid w:val="00C20FBE"/>
    <w:rsid w:val="00C346E2"/>
    <w:rsid w:val="00C3723F"/>
    <w:rsid w:val="00C42A62"/>
    <w:rsid w:val="00C44E86"/>
    <w:rsid w:val="00C44F03"/>
    <w:rsid w:val="00C45F75"/>
    <w:rsid w:val="00C500D1"/>
    <w:rsid w:val="00C50768"/>
    <w:rsid w:val="00C5246D"/>
    <w:rsid w:val="00C54A81"/>
    <w:rsid w:val="00C561DD"/>
    <w:rsid w:val="00C56BBC"/>
    <w:rsid w:val="00C576C6"/>
    <w:rsid w:val="00C61920"/>
    <w:rsid w:val="00C65439"/>
    <w:rsid w:val="00C67137"/>
    <w:rsid w:val="00C732CE"/>
    <w:rsid w:val="00C7478F"/>
    <w:rsid w:val="00C7545D"/>
    <w:rsid w:val="00C775CA"/>
    <w:rsid w:val="00C9396A"/>
    <w:rsid w:val="00CA2BB2"/>
    <w:rsid w:val="00CA64D3"/>
    <w:rsid w:val="00CB08AD"/>
    <w:rsid w:val="00CB3F04"/>
    <w:rsid w:val="00CB4442"/>
    <w:rsid w:val="00CB568F"/>
    <w:rsid w:val="00CC0F4F"/>
    <w:rsid w:val="00CC157B"/>
    <w:rsid w:val="00CC4718"/>
    <w:rsid w:val="00CC5709"/>
    <w:rsid w:val="00CC752B"/>
    <w:rsid w:val="00CD0B71"/>
    <w:rsid w:val="00CD5B43"/>
    <w:rsid w:val="00CE138E"/>
    <w:rsid w:val="00CE1393"/>
    <w:rsid w:val="00CE48C2"/>
    <w:rsid w:val="00CF1D56"/>
    <w:rsid w:val="00CF7883"/>
    <w:rsid w:val="00D019B4"/>
    <w:rsid w:val="00D02449"/>
    <w:rsid w:val="00D03136"/>
    <w:rsid w:val="00D039D4"/>
    <w:rsid w:val="00D05D87"/>
    <w:rsid w:val="00D05E52"/>
    <w:rsid w:val="00D0643B"/>
    <w:rsid w:val="00D10675"/>
    <w:rsid w:val="00D13019"/>
    <w:rsid w:val="00D15A71"/>
    <w:rsid w:val="00D20655"/>
    <w:rsid w:val="00D20ED6"/>
    <w:rsid w:val="00D216EE"/>
    <w:rsid w:val="00D254F0"/>
    <w:rsid w:val="00D328DE"/>
    <w:rsid w:val="00D339CD"/>
    <w:rsid w:val="00D348CF"/>
    <w:rsid w:val="00D3707A"/>
    <w:rsid w:val="00D37B91"/>
    <w:rsid w:val="00D40513"/>
    <w:rsid w:val="00D449E7"/>
    <w:rsid w:val="00D45F1F"/>
    <w:rsid w:val="00D47F7D"/>
    <w:rsid w:val="00D50F15"/>
    <w:rsid w:val="00D60A6B"/>
    <w:rsid w:val="00D63A75"/>
    <w:rsid w:val="00D66325"/>
    <w:rsid w:val="00D66DD2"/>
    <w:rsid w:val="00D71A15"/>
    <w:rsid w:val="00D727D7"/>
    <w:rsid w:val="00D769EA"/>
    <w:rsid w:val="00D80C02"/>
    <w:rsid w:val="00D8231C"/>
    <w:rsid w:val="00D83D96"/>
    <w:rsid w:val="00D879D2"/>
    <w:rsid w:val="00D9441A"/>
    <w:rsid w:val="00D958D7"/>
    <w:rsid w:val="00D95C0D"/>
    <w:rsid w:val="00D960CA"/>
    <w:rsid w:val="00DA0AB7"/>
    <w:rsid w:val="00DA31EC"/>
    <w:rsid w:val="00DA39EF"/>
    <w:rsid w:val="00DA51F0"/>
    <w:rsid w:val="00DB2963"/>
    <w:rsid w:val="00DB715B"/>
    <w:rsid w:val="00DB744C"/>
    <w:rsid w:val="00DC6945"/>
    <w:rsid w:val="00DD34CC"/>
    <w:rsid w:val="00DD6581"/>
    <w:rsid w:val="00DE0D90"/>
    <w:rsid w:val="00DE63C3"/>
    <w:rsid w:val="00DE70A7"/>
    <w:rsid w:val="00DF00D7"/>
    <w:rsid w:val="00DF0F8C"/>
    <w:rsid w:val="00DF50F2"/>
    <w:rsid w:val="00DF51B4"/>
    <w:rsid w:val="00E00132"/>
    <w:rsid w:val="00E00533"/>
    <w:rsid w:val="00E10F61"/>
    <w:rsid w:val="00E15653"/>
    <w:rsid w:val="00E15BCF"/>
    <w:rsid w:val="00E21FF2"/>
    <w:rsid w:val="00E309CB"/>
    <w:rsid w:val="00E33829"/>
    <w:rsid w:val="00E33902"/>
    <w:rsid w:val="00E3652F"/>
    <w:rsid w:val="00E40CE2"/>
    <w:rsid w:val="00E415D7"/>
    <w:rsid w:val="00E41AA2"/>
    <w:rsid w:val="00E4753B"/>
    <w:rsid w:val="00E51455"/>
    <w:rsid w:val="00E523D6"/>
    <w:rsid w:val="00E57E45"/>
    <w:rsid w:val="00E6425B"/>
    <w:rsid w:val="00E66355"/>
    <w:rsid w:val="00E76B50"/>
    <w:rsid w:val="00E81759"/>
    <w:rsid w:val="00E829D3"/>
    <w:rsid w:val="00E82B34"/>
    <w:rsid w:val="00E85914"/>
    <w:rsid w:val="00E8787B"/>
    <w:rsid w:val="00E924C8"/>
    <w:rsid w:val="00E938A0"/>
    <w:rsid w:val="00EA343F"/>
    <w:rsid w:val="00EA4848"/>
    <w:rsid w:val="00EB4388"/>
    <w:rsid w:val="00EB513B"/>
    <w:rsid w:val="00EB5602"/>
    <w:rsid w:val="00EC2058"/>
    <w:rsid w:val="00EC4AB3"/>
    <w:rsid w:val="00EC5B39"/>
    <w:rsid w:val="00EC7977"/>
    <w:rsid w:val="00ED0736"/>
    <w:rsid w:val="00ED377D"/>
    <w:rsid w:val="00ED680B"/>
    <w:rsid w:val="00ED686E"/>
    <w:rsid w:val="00EE0050"/>
    <w:rsid w:val="00EE1924"/>
    <w:rsid w:val="00EE2A15"/>
    <w:rsid w:val="00EE5F16"/>
    <w:rsid w:val="00EF0071"/>
    <w:rsid w:val="00EF0582"/>
    <w:rsid w:val="00EF44B1"/>
    <w:rsid w:val="00EF692B"/>
    <w:rsid w:val="00F008BE"/>
    <w:rsid w:val="00F01D30"/>
    <w:rsid w:val="00F05FFC"/>
    <w:rsid w:val="00F06B4D"/>
    <w:rsid w:val="00F12099"/>
    <w:rsid w:val="00F14783"/>
    <w:rsid w:val="00F20027"/>
    <w:rsid w:val="00F2126E"/>
    <w:rsid w:val="00F24E9F"/>
    <w:rsid w:val="00F3210E"/>
    <w:rsid w:val="00F40B2E"/>
    <w:rsid w:val="00F44C9E"/>
    <w:rsid w:val="00F451F1"/>
    <w:rsid w:val="00F47307"/>
    <w:rsid w:val="00F51DF2"/>
    <w:rsid w:val="00F6333F"/>
    <w:rsid w:val="00F65316"/>
    <w:rsid w:val="00F65748"/>
    <w:rsid w:val="00F672C8"/>
    <w:rsid w:val="00F7000F"/>
    <w:rsid w:val="00F72CB4"/>
    <w:rsid w:val="00F736E8"/>
    <w:rsid w:val="00F76453"/>
    <w:rsid w:val="00F76850"/>
    <w:rsid w:val="00F9308D"/>
    <w:rsid w:val="00F95EA5"/>
    <w:rsid w:val="00F973AD"/>
    <w:rsid w:val="00F97B76"/>
    <w:rsid w:val="00FA0687"/>
    <w:rsid w:val="00FA0B5E"/>
    <w:rsid w:val="00FA7AB9"/>
    <w:rsid w:val="00FB1B52"/>
    <w:rsid w:val="00FB2225"/>
    <w:rsid w:val="00FB23BA"/>
    <w:rsid w:val="00FC02F1"/>
    <w:rsid w:val="00FC358E"/>
    <w:rsid w:val="00FC3F1E"/>
    <w:rsid w:val="00FD06ED"/>
    <w:rsid w:val="00FD13B8"/>
    <w:rsid w:val="00FD216C"/>
    <w:rsid w:val="00FD72A3"/>
    <w:rsid w:val="00FE37CE"/>
    <w:rsid w:val="00FE7F50"/>
    <w:rsid w:val="00FF3450"/>
    <w:rsid w:val="00FF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6B75FAB-74CA-4151-A6DB-EDAD57BC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58D7"/>
    <w:pPr>
      <w:spacing w:line="240" w:lineRule="auto"/>
    </w:pPr>
    <w:rPr>
      <w:rFonts w:ascii="Arial" w:hAnsi="Arial"/>
      <w:sz w:val="20"/>
    </w:rPr>
  </w:style>
  <w:style w:type="paragraph" w:styleId="Heading1">
    <w:name w:val="heading 1"/>
    <w:basedOn w:val="Normal"/>
    <w:next w:val="Body"/>
    <w:link w:val="Heading1Char"/>
    <w:qFormat/>
    <w:rsid w:val="00B71337"/>
    <w:pPr>
      <w:keepNext/>
      <w:keepLines/>
      <w:numPr>
        <w:numId w:val="1"/>
      </w:numPr>
      <w:tabs>
        <w:tab w:val="clear" w:pos="1170"/>
        <w:tab w:val="num" w:pos="990"/>
      </w:tabs>
      <w:ind w:left="709" w:hanging="709"/>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71337"/>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customStyle="1" w:styleId="Arial">
    <w:name w:val="Arial"/>
    <w:basedOn w:val="Normal"/>
    <w:rsid w:val="00BA1164"/>
    <w:pPr>
      <w:spacing w:after="0"/>
    </w:pPr>
    <w:rPr>
      <w:rFonts w:eastAsia="Times New Roman" w:cs="Times New Roman"/>
      <w:sz w:val="22"/>
      <w:szCs w:val="20"/>
    </w:rPr>
  </w:style>
  <w:style w:type="paragraph" w:styleId="ListParagraph">
    <w:name w:val="List Paragraph"/>
    <w:basedOn w:val="Normal"/>
    <w:uiPriority w:val="34"/>
    <w:qFormat/>
    <w:rsid w:val="00BA1164"/>
    <w:pPr>
      <w:ind w:left="720"/>
      <w:contextualSpacing/>
    </w:pPr>
  </w:style>
  <w:style w:type="character" w:styleId="FollowedHyperlink">
    <w:name w:val="FollowedHyperlink"/>
    <w:basedOn w:val="DefaultParagraphFont"/>
    <w:uiPriority w:val="99"/>
    <w:semiHidden/>
    <w:unhideWhenUsed/>
    <w:rsid w:val="0016612E"/>
    <w:rPr>
      <w:color w:val="800080" w:themeColor="followedHyperlink"/>
      <w:u w:val="single"/>
    </w:rPr>
  </w:style>
  <w:style w:type="paragraph" w:styleId="NormalWeb">
    <w:name w:val="Normal (Web)"/>
    <w:basedOn w:val="Normal"/>
    <w:uiPriority w:val="99"/>
    <w:semiHidden/>
    <w:unhideWhenUsed/>
    <w:rsid w:val="0047151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D1CAA"/>
    <w:rPr>
      <w:sz w:val="16"/>
      <w:szCs w:val="16"/>
    </w:rPr>
  </w:style>
  <w:style w:type="paragraph" w:styleId="CommentText">
    <w:name w:val="annotation text"/>
    <w:basedOn w:val="Normal"/>
    <w:link w:val="CommentTextChar"/>
    <w:uiPriority w:val="99"/>
    <w:semiHidden/>
    <w:unhideWhenUsed/>
    <w:rsid w:val="007D1CAA"/>
    <w:rPr>
      <w:szCs w:val="20"/>
    </w:rPr>
  </w:style>
  <w:style w:type="character" w:customStyle="1" w:styleId="CommentTextChar">
    <w:name w:val="Comment Text Char"/>
    <w:basedOn w:val="DefaultParagraphFont"/>
    <w:link w:val="CommentText"/>
    <w:uiPriority w:val="99"/>
    <w:semiHidden/>
    <w:rsid w:val="007D1C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1CAA"/>
    <w:rPr>
      <w:b/>
      <w:bCs/>
    </w:rPr>
  </w:style>
  <w:style w:type="character" w:customStyle="1" w:styleId="CommentSubjectChar">
    <w:name w:val="Comment Subject Char"/>
    <w:basedOn w:val="CommentTextChar"/>
    <w:link w:val="CommentSubject"/>
    <w:uiPriority w:val="99"/>
    <w:semiHidden/>
    <w:rsid w:val="007D1CAA"/>
    <w:rPr>
      <w:rFonts w:ascii="Arial" w:hAnsi="Arial"/>
      <w:b/>
      <w:bCs/>
      <w:sz w:val="20"/>
      <w:szCs w:val="20"/>
    </w:rPr>
  </w:style>
  <w:style w:type="table" w:customStyle="1" w:styleId="TableGrid1">
    <w:name w:val="Table Grid1"/>
    <w:basedOn w:val="TableNormal"/>
    <w:next w:val="TableGrid"/>
    <w:uiPriority w:val="59"/>
    <w:rsid w:val="00791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32671">
      <w:bodyDiv w:val="1"/>
      <w:marLeft w:val="0"/>
      <w:marRight w:val="0"/>
      <w:marTop w:val="0"/>
      <w:marBottom w:val="0"/>
      <w:divBdr>
        <w:top w:val="none" w:sz="0" w:space="0" w:color="auto"/>
        <w:left w:val="none" w:sz="0" w:space="0" w:color="auto"/>
        <w:bottom w:val="none" w:sz="0" w:space="0" w:color="auto"/>
        <w:right w:val="none" w:sz="0" w:space="0" w:color="auto"/>
      </w:divBdr>
    </w:div>
    <w:div w:id="501050045">
      <w:bodyDiv w:val="1"/>
      <w:marLeft w:val="0"/>
      <w:marRight w:val="0"/>
      <w:marTop w:val="0"/>
      <w:marBottom w:val="0"/>
      <w:divBdr>
        <w:top w:val="none" w:sz="0" w:space="0" w:color="auto"/>
        <w:left w:val="none" w:sz="0" w:space="0" w:color="auto"/>
        <w:bottom w:val="none" w:sz="0" w:space="0" w:color="auto"/>
        <w:right w:val="none" w:sz="0" w:space="0" w:color="auto"/>
      </w:divBdr>
    </w:div>
    <w:div w:id="746266306">
      <w:bodyDiv w:val="1"/>
      <w:marLeft w:val="0"/>
      <w:marRight w:val="0"/>
      <w:marTop w:val="0"/>
      <w:marBottom w:val="0"/>
      <w:divBdr>
        <w:top w:val="none" w:sz="0" w:space="0" w:color="auto"/>
        <w:left w:val="none" w:sz="0" w:space="0" w:color="auto"/>
        <w:bottom w:val="none" w:sz="0" w:space="0" w:color="auto"/>
        <w:right w:val="none" w:sz="0" w:space="0" w:color="auto"/>
      </w:divBdr>
      <w:divsChild>
        <w:div w:id="437019186">
          <w:marLeft w:val="547"/>
          <w:marRight w:val="0"/>
          <w:marTop w:val="134"/>
          <w:marBottom w:val="0"/>
          <w:divBdr>
            <w:top w:val="none" w:sz="0" w:space="0" w:color="auto"/>
            <w:left w:val="none" w:sz="0" w:space="0" w:color="auto"/>
            <w:bottom w:val="none" w:sz="0" w:space="0" w:color="auto"/>
            <w:right w:val="none" w:sz="0" w:space="0" w:color="auto"/>
          </w:divBdr>
        </w:div>
      </w:divsChild>
    </w:div>
    <w:div w:id="750009029">
      <w:bodyDiv w:val="1"/>
      <w:marLeft w:val="0"/>
      <w:marRight w:val="0"/>
      <w:marTop w:val="0"/>
      <w:marBottom w:val="0"/>
      <w:divBdr>
        <w:top w:val="none" w:sz="0" w:space="0" w:color="auto"/>
        <w:left w:val="none" w:sz="0" w:space="0" w:color="auto"/>
        <w:bottom w:val="none" w:sz="0" w:space="0" w:color="auto"/>
        <w:right w:val="none" w:sz="0" w:space="0" w:color="auto"/>
      </w:divBdr>
    </w:div>
    <w:div w:id="821771489">
      <w:bodyDiv w:val="1"/>
      <w:marLeft w:val="0"/>
      <w:marRight w:val="0"/>
      <w:marTop w:val="0"/>
      <w:marBottom w:val="0"/>
      <w:divBdr>
        <w:top w:val="none" w:sz="0" w:space="0" w:color="auto"/>
        <w:left w:val="none" w:sz="0" w:space="0" w:color="auto"/>
        <w:bottom w:val="none" w:sz="0" w:space="0" w:color="auto"/>
        <w:right w:val="none" w:sz="0" w:space="0" w:color="auto"/>
      </w:divBdr>
      <w:divsChild>
        <w:div w:id="71851743">
          <w:marLeft w:val="547"/>
          <w:marRight w:val="0"/>
          <w:marTop w:val="134"/>
          <w:marBottom w:val="0"/>
          <w:divBdr>
            <w:top w:val="none" w:sz="0" w:space="0" w:color="auto"/>
            <w:left w:val="none" w:sz="0" w:space="0" w:color="auto"/>
            <w:bottom w:val="none" w:sz="0" w:space="0" w:color="auto"/>
            <w:right w:val="none" w:sz="0" w:space="0" w:color="auto"/>
          </w:divBdr>
        </w:div>
      </w:divsChild>
    </w:div>
    <w:div w:id="1372994197">
      <w:bodyDiv w:val="1"/>
      <w:marLeft w:val="0"/>
      <w:marRight w:val="0"/>
      <w:marTop w:val="0"/>
      <w:marBottom w:val="0"/>
      <w:divBdr>
        <w:top w:val="none" w:sz="0" w:space="0" w:color="auto"/>
        <w:left w:val="none" w:sz="0" w:space="0" w:color="auto"/>
        <w:bottom w:val="none" w:sz="0" w:space="0" w:color="auto"/>
        <w:right w:val="none" w:sz="0" w:space="0" w:color="auto"/>
      </w:divBdr>
    </w:div>
    <w:div w:id="1581989064">
      <w:bodyDiv w:val="1"/>
      <w:marLeft w:val="0"/>
      <w:marRight w:val="0"/>
      <w:marTop w:val="0"/>
      <w:marBottom w:val="0"/>
      <w:divBdr>
        <w:top w:val="none" w:sz="0" w:space="0" w:color="auto"/>
        <w:left w:val="none" w:sz="0" w:space="0" w:color="auto"/>
        <w:bottom w:val="none" w:sz="0" w:space="0" w:color="auto"/>
        <w:right w:val="none" w:sz="0" w:space="0" w:color="auto"/>
      </w:divBdr>
    </w:div>
    <w:div w:id="1592423065">
      <w:bodyDiv w:val="1"/>
      <w:marLeft w:val="0"/>
      <w:marRight w:val="0"/>
      <w:marTop w:val="0"/>
      <w:marBottom w:val="0"/>
      <w:divBdr>
        <w:top w:val="none" w:sz="0" w:space="0" w:color="auto"/>
        <w:left w:val="none" w:sz="0" w:space="0" w:color="auto"/>
        <w:bottom w:val="none" w:sz="0" w:space="0" w:color="auto"/>
        <w:right w:val="none" w:sz="0" w:space="0" w:color="auto"/>
      </w:divBdr>
    </w:div>
    <w:div w:id="1857766046">
      <w:bodyDiv w:val="1"/>
      <w:marLeft w:val="0"/>
      <w:marRight w:val="0"/>
      <w:marTop w:val="0"/>
      <w:marBottom w:val="0"/>
      <w:divBdr>
        <w:top w:val="none" w:sz="0" w:space="0" w:color="auto"/>
        <w:left w:val="none" w:sz="0" w:space="0" w:color="auto"/>
        <w:bottom w:val="none" w:sz="0" w:space="0" w:color="auto"/>
        <w:right w:val="none" w:sz="0" w:space="0" w:color="auto"/>
      </w:divBdr>
    </w:div>
    <w:div w:id="1886984597">
      <w:bodyDiv w:val="1"/>
      <w:marLeft w:val="0"/>
      <w:marRight w:val="0"/>
      <w:marTop w:val="0"/>
      <w:marBottom w:val="0"/>
      <w:divBdr>
        <w:top w:val="none" w:sz="0" w:space="0" w:color="auto"/>
        <w:left w:val="none" w:sz="0" w:space="0" w:color="auto"/>
        <w:bottom w:val="none" w:sz="0" w:space="0" w:color="auto"/>
        <w:right w:val="none" w:sz="0" w:space="0" w:color="auto"/>
      </w:divBdr>
    </w:div>
    <w:div w:id="1924223696">
      <w:bodyDiv w:val="1"/>
      <w:marLeft w:val="0"/>
      <w:marRight w:val="0"/>
      <w:marTop w:val="0"/>
      <w:marBottom w:val="0"/>
      <w:divBdr>
        <w:top w:val="none" w:sz="0" w:space="0" w:color="auto"/>
        <w:left w:val="none" w:sz="0" w:space="0" w:color="auto"/>
        <w:bottom w:val="none" w:sz="0" w:space="0" w:color="auto"/>
        <w:right w:val="none" w:sz="0" w:space="0" w:color="auto"/>
      </w:divBdr>
    </w:div>
    <w:div w:id="1938177696">
      <w:bodyDiv w:val="1"/>
      <w:marLeft w:val="0"/>
      <w:marRight w:val="0"/>
      <w:marTop w:val="0"/>
      <w:marBottom w:val="0"/>
      <w:divBdr>
        <w:top w:val="none" w:sz="0" w:space="0" w:color="auto"/>
        <w:left w:val="none" w:sz="0" w:space="0" w:color="auto"/>
        <w:bottom w:val="none" w:sz="0" w:space="0" w:color="auto"/>
        <w:right w:val="none" w:sz="0" w:space="0" w:color="auto"/>
      </w:divBdr>
    </w:div>
    <w:div w:id="2009096371">
      <w:bodyDiv w:val="1"/>
      <w:marLeft w:val="0"/>
      <w:marRight w:val="0"/>
      <w:marTop w:val="0"/>
      <w:marBottom w:val="0"/>
      <w:divBdr>
        <w:top w:val="none" w:sz="0" w:space="0" w:color="auto"/>
        <w:left w:val="none" w:sz="0" w:space="0" w:color="auto"/>
        <w:bottom w:val="none" w:sz="0" w:space="0" w:color="auto"/>
        <w:right w:val="none" w:sz="0" w:space="0" w:color="auto"/>
      </w:divBdr>
      <w:divsChild>
        <w:div w:id="121700983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noettl@milinc.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940FB17AD71458D4EDDBED5C38A8E" ma:contentTypeVersion="0" ma:contentTypeDescription="Create a new document." ma:contentTypeScope="" ma:versionID="2c641bcc9ace2b16f42a0fb20179099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E60C-CFA6-4FAE-BE3F-B043E560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4944CB44-C53A-450D-B0EE-522C491A001A}">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006B1D-ED74-4A8A-8B78-99851313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CPMinutesOct2014UNCONFIRMED</vt:lpstr>
    </vt:vector>
  </TitlesOfParts>
  <Company>SAE International</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CPMinutesOct2014UNCONFIRMED</dc:title>
  <dc:creator>Jim Lewis</dc:creator>
  <cp:lastModifiedBy>Joyce Benkart</cp:lastModifiedBy>
  <cp:revision>3</cp:revision>
  <dcterms:created xsi:type="dcterms:W3CDTF">2017-03-08T16:10:00Z</dcterms:created>
  <dcterms:modified xsi:type="dcterms:W3CDTF">2017-03-10T14:49:00Z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0x01010095D940FB17AD71458D4EDDBED5C38A8E</vt:lpwstr>
  </property>
</Properties>
</file>