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897C" w14:textId="2A44ECC7" w:rsidR="00FA0B5E" w:rsidRPr="00FC3F1E" w:rsidRDefault="00FA0B5E" w:rsidP="00FC3F1E">
      <w:pPr>
        <w:spacing w:after="0"/>
        <w:jc w:val="center"/>
        <w:rPr>
          <w:b/>
        </w:rPr>
      </w:pPr>
      <w:r w:rsidRPr="00FC3F1E">
        <w:rPr>
          <w:b/>
        </w:rPr>
        <w:t>CONFIRMED MINUTES</w:t>
      </w:r>
      <w:bookmarkStart w:id="0" w:name="_GoBack"/>
      <w:bookmarkEnd w:id="0"/>
    </w:p>
    <w:p w14:paraId="267D897D" w14:textId="3B590475" w:rsidR="00FA0B5E" w:rsidRPr="00FC3F1E" w:rsidRDefault="001A145E" w:rsidP="00FC3F1E">
      <w:pPr>
        <w:spacing w:after="0"/>
        <w:jc w:val="center"/>
        <w:rPr>
          <w:b/>
        </w:rPr>
      </w:pPr>
      <w:r>
        <w:rPr>
          <w:b/>
        </w:rPr>
        <w:t>OCTOBER 24-27, 2016</w:t>
      </w:r>
    </w:p>
    <w:p w14:paraId="267D897E" w14:textId="0CC6D076" w:rsidR="00FA0B5E" w:rsidRPr="00FC3F1E" w:rsidRDefault="001A145E" w:rsidP="007F7E08">
      <w:pPr>
        <w:jc w:val="center"/>
        <w:rPr>
          <w:b/>
        </w:rPr>
      </w:pPr>
      <w:r>
        <w:rPr>
          <w:b/>
        </w:rPr>
        <w:t>PITTSBURGH, PENNSYLVANIA, USA</w:t>
      </w:r>
    </w:p>
    <w:p w14:paraId="267D897F" w14:textId="77777777"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267D8980" w14:textId="7BF6F565" w:rsidR="00FA0B5E" w:rsidRPr="00FC3F1E" w:rsidRDefault="001A145E" w:rsidP="00FA0B5E">
      <w:pPr>
        <w:rPr>
          <w:b/>
          <w:u w:val="single"/>
        </w:rPr>
      </w:pPr>
      <w:r>
        <w:rPr>
          <w:b/>
          <w:u w:val="single"/>
        </w:rPr>
        <w:t>MONDAY, 24-OCT-16 to THURSDAY, 27-OCT-16</w:t>
      </w:r>
    </w:p>
    <w:p w14:paraId="267D8981" w14:textId="77777777" w:rsidR="00FA0B5E" w:rsidRDefault="00FA0B5E" w:rsidP="00FA0B5E">
      <w:pPr>
        <w:pStyle w:val="Heading1"/>
      </w:pPr>
      <w:r>
        <w:t>OPENING COMMENTS</w:t>
      </w:r>
    </w:p>
    <w:p w14:paraId="267D8982" w14:textId="77777777" w:rsidR="00FA0B5E" w:rsidRDefault="00FA0B5E" w:rsidP="00FA0B5E">
      <w:pPr>
        <w:pStyle w:val="Heading2"/>
      </w:pPr>
      <w:r>
        <w:t>Call to Order / Quorum Check</w:t>
      </w:r>
    </w:p>
    <w:p w14:paraId="267D8983" w14:textId="69B414D0" w:rsidR="00FA0B5E" w:rsidRDefault="007843D9" w:rsidP="00FA0B5E">
      <w:pPr>
        <w:pStyle w:val="Body"/>
      </w:pPr>
      <w:r>
        <w:t xml:space="preserve">The Electronics (ETG) Task Group (TG) </w:t>
      </w:r>
      <w:r w:rsidR="00FA0B5E">
        <w:t xml:space="preserve">was called to order at </w:t>
      </w:r>
      <w:r w:rsidR="00E435D6">
        <w:t>8:00</w:t>
      </w:r>
      <w:r w:rsidR="00FA0B5E">
        <w:t xml:space="preserve"> a.m., </w:t>
      </w:r>
      <w:r w:rsidR="00E435D6">
        <w:t>24-Oct-2016.</w:t>
      </w:r>
    </w:p>
    <w:p w14:paraId="267D8984" w14:textId="77777777" w:rsidR="00FA0B5E" w:rsidRDefault="00FA0B5E" w:rsidP="00FA0B5E">
      <w:pPr>
        <w:pStyle w:val="Body"/>
      </w:pPr>
      <w:r>
        <w:t>It was verified that only SUBSCRIBER MEMBERS were in attendance during the closed portion of the meeting.</w:t>
      </w:r>
    </w:p>
    <w:p w14:paraId="267D8985" w14:textId="77777777" w:rsidR="00FA0B5E" w:rsidRDefault="00FA0B5E" w:rsidP="00FA0B5E">
      <w:pPr>
        <w:pStyle w:val="Body"/>
      </w:pPr>
      <w:r>
        <w:t>A quorum was established with the following representatives in attendance:</w:t>
      </w:r>
    </w:p>
    <w:p w14:paraId="267D8986"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14:paraId="267D898C" w14:textId="77777777" w:rsidTr="0072739C">
        <w:tc>
          <w:tcPr>
            <w:tcW w:w="295" w:type="dxa"/>
          </w:tcPr>
          <w:p w14:paraId="267D8987" w14:textId="77777777" w:rsidR="00FA0B5E" w:rsidRPr="00FA0B5E" w:rsidRDefault="00FA0B5E" w:rsidP="00FA0B5E">
            <w:pPr>
              <w:pStyle w:val="Names"/>
            </w:pPr>
          </w:p>
        </w:tc>
        <w:tc>
          <w:tcPr>
            <w:tcW w:w="1998" w:type="dxa"/>
          </w:tcPr>
          <w:p w14:paraId="267D8988" w14:textId="77777777" w:rsidR="00FA0B5E" w:rsidRPr="00FA0B5E" w:rsidRDefault="00FA0B5E" w:rsidP="00FA0B5E">
            <w:pPr>
              <w:pStyle w:val="Names"/>
            </w:pPr>
            <w:r w:rsidRPr="00FA0B5E">
              <w:t>NAME</w:t>
            </w:r>
          </w:p>
        </w:tc>
        <w:tc>
          <w:tcPr>
            <w:tcW w:w="1980" w:type="dxa"/>
          </w:tcPr>
          <w:p w14:paraId="267D8989" w14:textId="77777777" w:rsidR="00FA0B5E" w:rsidRPr="00FA0B5E" w:rsidRDefault="00FA0B5E" w:rsidP="00FA0B5E">
            <w:pPr>
              <w:pStyle w:val="Names"/>
            </w:pPr>
          </w:p>
        </w:tc>
        <w:tc>
          <w:tcPr>
            <w:tcW w:w="3870" w:type="dxa"/>
          </w:tcPr>
          <w:p w14:paraId="267D898A" w14:textId="77777777" w:rsidR="00FA0B5E" w:rsidRPr="00FA0B5E" w:rsidRDefault="00FA0B5E" w:rsidP="00FA0B5E">
            <w:pPr>
              <w:pStyle w:val="Names"/>
            </w:pPr>
            <w:r w:rsidRPr="00FA0B5E">
              <w:t>COMPANY NAME</w:t>
            </w:r>
          </w:p>
        </w:tc>
        <w:tc>
          <w:tcPr>
            <w:tcW w:w="2160" w:type="dxa"/>
          </w:tcPr>
          <w:p w14:paraId="267D898B" w14:textId="77777777" w:rsidR="00FA0B5E" w:rsidRPr="00FA0B5E" w:rsidRDefault="00FA0B5E" w:rsidP="00FA0B5E">
            <w:pPr>
              <w:pStyle w:val="Names"/>
            </w:pPr>
          </w:p>
        </w:tc>
      </w:tr>
      <w:tr w:rsidR="00E51455" w:rsidRPr="00FA0B5E" w14:paraId="267D8992" w14:textId="77777777" w:rsidTr="0072739C">
        <w:tc>
          <w:tcPr>
            <w:tcW w:w="295" w:type="dxa"/>
          </w:tcPr>
          <w:p w14:paraId="267D898D" w14:textId="77777777" w:rsidR="00FA0B5E" w:rsidRPr="00FA0B5E" w:rsidRDefault="00FA0B5E" w:rsidP="00FA0B5E">
            <w:pPr>
              <w:pStyle w:val="Names"/>
            </w:pPr>
          </w:p>
        </w:tc>
        <w:tc>
          <w:tcPr>
            <w:tcW w:w="1998" w:type="dxa"/>
          </w:tcPr>
          <w:p w14:paraId="267D898E" w14:textId="77777777" w:rsidR="00FA0B5E" w:rsidRPr="00FA0B5E" w:rsidRDefault="00FA0B5E" w:rsidP="00FA0B5E">
            <w:pPr>
              <w:pStyle w:val="Names"/>
            </w:pPr>
          </w:p>
        </w:tc>
        <w:tc>
          <w:tcPr>
            <w:tcW w:w="1980" w:type="dxa"/>
          </w:tcPr>
          <w:p w14:paraId="267D898F" w14:textId="77777777" w:rsidR="00FA0B5E" w:rsidRPr="00FA0B5E" w:rsidRDefault="00FA0B5E" w:rsidP="00FA0B5E">
            <w:pPr>
              <w:pStyle w:val="Names"/>
            </w:pPr>
          </w:p>
        </w:tc>
        <w:tc>
          <w:tcPr>
            <w:tcW w:w="3870" w:type="dxa"/>
          </w:tcPr>
          <w:p w14:paraId="267D8990" w14:textId="77777777" w:rsidR="00FA0B5E" w:rsidRPr="00FA0B5E" w:rsidRDefault="00FA0B5E" w:rsidP="00FA0B5E">
            <w:pPr>
              <w:pStyle w:val="Names"/>
            </w:pPr>
          </w:p>
        </w:tc>
        <w:tc>
          <w:tcPr>
            <w:tcW w:w="2160" w:type="dxa"/>
          </w:tcPr>
          <w:p w14:paraId="267D8991" w14:textId="77777777" w:rsidR="00FA0B5E" w:rsidRPr="00FA0B5E" w:rsidRDefault="00FA0B5E" w:rsidP="00FA0B5E">
            <w:pPr>
              <w:pStyle w:val="Names"/>
            </w:pPr>
          </w:p>
        </w:tc>
      </w:tr>
      <w:tr w:rsidR="00312C0E" w:rsidRPr="00FA0B5E" w14:paraId="267D8998" w14:textId="77777777" w:rsidTr="00312C0E">
        <w:tc>
          <w:tcPr>
            <w:tcW w:w="295" w:type="dxa"/>
          </w:tcPr>
          <w:p w14:paraId="267D8993" w14:textId="5D55C46F" w:rsidR="00312C0E" w:rsidRPr="00FA0B5E" w:rsidRDefault="00312C0E" w:rsidP="00312C0E">
            <w:pPr>
              <w:pStyle w:val="Names"/>
            </w:pPr>
            <w:r>
              <w:t>*</w:t>
            </w:r>
          </w:p>
        </w:tc>
        <w:tc>
          <w:tcPr>
            <w:tcW w:w="1998" w:type="dxa"/>
            <w:vAlign w:val="bottom"/>
          </w:tcPr>
          <w:p w14:paraId="267D8994" w14:textId="3E5DD002" w:rsidR="00312C0E" w:rsidRPr="00312C0E" w:rsidRDefault="00312C0E" w:rsidP="00312C0E">
            <w:pPr>
              <w:pStyle w:val="Names"/>
              <w:rPr>
                <w:rFonts w:cs="Arial"/>
              </w:rPr>
            </w:pPr>
            <w:r w:rsidRPr="00312C0E">
              <w:rPr>
                <w:rFonts w:cs="Arial"/>
                <w:color w:val="000000"/>
              </w:rPr>
              <w:t>Roger</w:t>
            </w:r>
          </w:p>
        </w:tc>
        <w:tc>
          <w:tcPr>
            <w:tcW w:w="1980" w:type="dxa"/>
            <w:vAlign w:val="bottom"/>
          </w:tcPr>
          <w:p w14:paraId="267D8995" w14:textId="3001B5F8" w:rsidR="00312C0E" w:rsidRPr="00312C0E" w:rsidRDefault="00312C0E" w:rsidP="00312C0E">
            <w:pPr>
              <w:pStyle w:val="Names"/>
              <w:rPr>
                <w:rFonts w:cs="Arial"/>
              </w:rPr>
            </w:pPr>
            <w:r w:rsidRPr="00312C0E">
              <w:rPr>
                <w:rFonts w:cs="Arial"/>
                <w:color w:val="000000"/>
              </w:rPr>
              <w:t>Bloomfield</w:t>
            </w:r>
          </w:p>
        </w:tc>
        <w:tc>
          <w:tcPr>
            <w:tcW w:w="3870" w:type="dxa"/>
            <w:vAlign w:val="bottom"/>
          </w:tcPr>
          <w:p w14:paraId="267D8996" w14:textId="4CAEAB62" w:rsidR="00312C0E" w:rsidRPr="00312C0E" w:rsidRDefault="00312C0E" w:rsidP="00312C0E">
            <w:pPr>
              <w:pStyle w:val="Names"/>
              <w:rPr>
                <w:rFonts w:cs="Arial"/>
              </w:rPr>
            </w:pPr>
            <w:r w:rsidRPr="00312C0E">
              <w:rPr>
                <w:rFonts w:cs="Arial"/>
                <w:color w:val="000000"/>
              </w:rPr>
              <w:t>UTC Aerospace (Goodrich)</w:t>
            </w:r>
          </w:p>
        </w:tc>
        <w:tc>
          <w:tcPr>
            <w:tcW w:w="2160" w:type="dxa"/>
          </w:tcPr>
          <w:p w14:paraId="267D8997" w14:textId="47F792CF" w:rsidR="00312C0E" w:rsidRPr="00FA0B5E" w:rsidRDefault="00312C0E" w:rsidP="00312C0E">
            <w:pPr>
              <w:pStyle w:val="Names"/>
            </w:pPr>
            <w:r>
              <w:t>Vice Chairperson</w:t>
            </w:r>
          </w:p>
        </w:tc>
      </w:tr>
      <w:tr w:rsidR="00312C0E" w:rsidRPr="00FA0B5E" w14:paraId="267D899E" w14:textId="77777777" w:rsidTr="00312C0E">
        <w:tc>
          <w:tcPr>
            <w:tcW w:w="295" w:type="dxa"/>
          </w:tcPr>
          <w:p w14:paraId="267D8999" w14:textId="0F731F27" w:rsidR="00312C0E" w:rsidRPr="00FA0B5E" w:rsidRDefault="00B940A5" w:rsidP="00312C0E">
            <w:pPr>
              <w:pStyle w:val="Names"/>
            </w:pPr>
            <w:r>
              <w:t>*</w:t>
            </w:r>
          </w:p>
        </w:tc>
        <w:tc>
          <w:tcPr>
            <w:tcW w:w="1998" w:type="dxa"/>
            <w:vAlign w:val="bottom"/>
          </w:tcPr>
          <w:p w14:paraId="267D899A" w14:textId="7FC7F71F" w:rsidR="00312C0E" w:rsidRPr="00312C0E" w:rsidRDefault="00312C0E" w:rsidP="00312C0E">
            <w:pPr>
              <w:pStyle w:val="Names"/>
              <w:rPr>
                <w:rFonts w:cs="Arial"/>
              </w:rPr>
            </w:pPr>
            <w:r w:rsidRPr="00312C0E">
              <w:rPr>
                <w:rFonts w:cs="Arial"/>
                <w:color w:val="000000"/>
              </w:rPr>
              <w:t>William</w:t>
            </w:r>
          </w:p>
        </w:tc>
        <w:tc>
          <w:tcPr>
            <w:tcW w:w="1980" w:type="dxa"/>
            <w:vAlign w:val="bottom"/>
          </w:tcPr>
          <w:p w14:paraId="267D899B" w14:textId="35605DFE" w:rsidR="00312C0E" w:rsidRPr="00312C0E" w:rsidRDefault="00312C0E" w:rsidP="00312C0E">
            <w:pPr>
              <w:pStyle w:val="Names"/>
              <w:rPr>
                <w:rFonts w:cs="Arial"/>
              </w:rPr>
            </w:pPr>
            <w:r w:rsidRPr="00312C0E">
              <w:rPr>
                <w:rFonts w:cs="Arial"/>
                <w:color w:val="000000"/>
              </w:rPr>
              <w:t>Cardinal</w:t>
            </w:r>
          </w:p>
        </w:tc>
        <w:tc>
          <w:tcPr>
            <w:tcW w:w="3870" w:type="dxa"/>
            <w:vAlign w:val="bottom"/>
          </w:tcPr>
          <w:p w14:paraId="267D899C" w14:textId="4D02AB52" w:rsidR="00312C0E" w:rsidRPr="00312C0E" w:rsidRDefault="00312C0E" w:rsidP="00312C0E">
            <w:pPr>
              <w:pStyle w:val="Names"/>
              <w:rPr>
                <w:rFonts w:cs="Arial"/>
              </w:rPr>
            </w:pPr>
            <w:r w:rsidRPr="00312C0E">
              <w:rPr>
                <w:rFonts w:cs="Arial"/>
                <w:color w:val="000000"/>
              </w:rPr>
              <w:t>UTC Aerospace (Hamilton Sundstrand)</w:t>
            </w:r>
          </w:p>
        </w:tc>
        <w:tc>
          <w:tcPr>
            <w:tcW w:w="2160" w:type="dxa"/>
          </w:tcPr>
          <w:p w14:paraId="267D899D" w14:textId="77777777" w:rsidR="00312C0E" w:rsidRPr="00FA0B5E" w:rsidRDefault="00312C0E" w:rsidP="00312C0E">
            <w:pPr>
              <w:pStyle w:val="Names"/>
            </w:pPr>
          </w:p>
        </w:tc>
      </w:tr>
      <w:tr w:rsidR="00B940A5" w:rsidRPr="00FA0B5E" w14:paraId="4B5E16B3" w14:textId="77777777" w:rsidTr="00720C85">
        <w:tc>
          <w:tcPr>
            <w:tcW w:w="295" w:type="dxa"/>
          </w:tcPr>
          <w:p w14:paraId="6D4146A1" w14:textId="67BF3530" w:rsidR="00B940A5" w:rsidRPr="00FA0B5E" w:rsidRDefault="00B940A5" w:rsidP="00B940A5">
            <w:pPr>
              <w:pStyle w:val="Names"/>
            </w:pPr>
            <w:r w:rsidRPr="00334EF3">
              <w:t>*</w:t>
            </w:r>
          </w:p>
        </w:tc>
        <w:tc>
          <w:tcPr>
            <w:tcW w:w="1998" w:type="dxa"/>
            <w:vAlign w:val="center"/>
          </w:tcPr>
          <w:p w14:paraId="7C3F78CF" w14:textId="4C02FFF8" w:rsidR="00B940A5" w:rsidRPr="00312C0E" w:rsidRDefault="00B940A5" w:rsidP="00B940A5">
            <w:pPr>
              <w:pStyle w:val="Names"/>
              <w:rPr>
                <w:rFonts w:cs="Arial"/>
                <w:color w:val="000000"/>
              </w:rPr>
            </w:pPr>
            <w:r>
              <w:rPr>
                <w:rFonts w:cs="Arial"/>
                <w:szCs w:val="20"/>
              </w:rPr>
              <w:t>Roy</w:t>
            </w:r>
          </w:p>
        </w:tc>
        <w:tc>
          <w:tcPr>
            <w:tcW w:w="1980" w:type="dxa"/>
            <w:vAlign w:val="center"/>
          </w:tcPr>
          <w:p w14:paraId="2A0A93D0" w14:textId="2A229879" w:rsidR="00B940A5" w:rsidRPr="00312C0E" w:rsidRDefault="00B940A5" w:rsidP="00B940A5">
            <w:pPr>
              <w:pStyle w:val="Names"/>
              <w:rPr>
                <w:rFonts w:cs="Arial"/>
                <w:color w:val="000000"/>
              </w:rPr>
            </w:pPr>
            <w:r>
              <w:rPr>
                <w:rFonts w:cs="Arial"/>
                <w:szCs w:val="20"/>
              </w:rPr>
              <w:t>Garside</w:t>
            </w:r>
          </w:p>
        </w:tc>
        <w:tc>
          <w:tcPr>
            <w:tcW w:w="3870" w:type="dxa"/>
            <w:vAlign w:val="center"/>
          </w:tcPr>
          <w:p w14:paraId="72D55AB7" w14:textId="38A5D2F2" w:rsidR="00B940A5" w:rsidRPr="00312C0E" w:rsidRDefault="00B940A5" w:rsidP="00B940A5">
            <w:pPr>
              <w:pStyle w:val="Names"/>
              <w:rPr>
                <w:rFonts w:cs="Arial"/>
                <w:color w:val="000000"/>
              </w:rPr>
            </w:pPr>
            <w:r>
              <w:rPr>
                <w:rFonts w:cs="Arial"/>
                <w:color w:val="000000"/>
                <w:szCs w:val="20"/>
              </w:rPr>
              <w:t>Rolls-Royce</w:t>
            </w:r>
          </w:p>
        </w:tc>
        <w:tc>
          <w:tcPr>
            <w:tcW w:w="2160" w:type="dxa"/>
          </w:tcPr>
          <w:p w14:paraId="7E061B9B" w14:textId="55B5D4A0" w:rsidR="00B940A5" w:rsidRPr="00FA0B5E" w:rsidRDefault="00B940A5" w:rsidP="00B940A5">
            <w:pPr>
              <w:pStyle w:val="Names"/>
            </w:pPr>
            <w:r>
              <w:t>Chairperson</w:t>
            </w:r>
          </w:p>
        </w:tc>
      </w:tr>
      <w:tr w:rsidR="00B940A5" w:rsidRPr="00FA0B5E" w14:paraId="73B228E7" w14:textId="77777777" w:rsidTr="00720C85">
        <w:tc>
          <w:tcPr>
            <w:tcW w:w="295" w:type="dxa"/>
          </w:tcPr>
          <w:p w14:paraId="32142447" w14:textId="2D686F92" w:rsidR="00B940A5" w:rsidRPr="00FA0B5E" w:rsidRDefault="00B940A5" w:rsidP="00B940A5">
            <w:pPr>
              <w:pStyle w:val="Names"/>
            </w:pPr>
            <w:r w:rsidRPr="00334EF3">
              <w:t>*</w:t>
            </w:r>
          </w:p>
        </w:tc>
        <w:tc>
          <w:tcPr>
            <w:tcW w:w="1998" w:type="dxa"/>
            <w:vAlign w:val="center"/>
          </w:tcPr>
          <w:p w14:paraId="49C0874B" w14:textId="0C402976" w:rsidR="00B940A5" w:rsidRPr="00312C0E" w:rsidRDefault="00B940A5" w:rsidP="00B940A5">
            <w:pPr>
              <w:pStyle w:val="Names"/>
              <w:rPr>
                <w:rFonts w:cs="Arial"/>
                <w:color w:val="000000"/>
              </w:rPr>
            </w:pPr>
            <w:r>
              <w:rPr>
                <w:rFonts w:cs="Arial"/>
                <w:szCs w:val="20"/>
              </w:rPr>
              <w:t>Rachel</w:t>
            </w:r>
          </w:p>
        </w:tc>
        <w:tc>
          <w:tcPr>
            <w:tcW w:w="1980" w:type="dxa"/>
            <w:vAlign w:val="center"/>
          </w:tcPr>
          <w:p w14:paraId="7A13175E" w14:textId="14833CA2" w:rsidR="00B940A5" w:rsidRPr="00312C0E" w:rsidRDefault="00B940A5" w:rsidP="00B940A5">
            <w:pPr>
              <w:pStyle w:val="Names"/>
              <w:rPr>
                <w:rFonts w:cs="Arial"/>
                <w:color w:val="000000"/>
              </w:rPr>
            </w:pPr>
            <w:proofErr w:type="spellStart"/>
            <w:r>
              <w:rPr>
                <w:rFonts w:cs="Arial"/>
                <w:szCs w:val="20"/>
              </w:rPr>
              <w:t>Grinvalds</w:t>
            </w:r>
            <w:proofErr w:type="spellEnd"/>
          </w:p>
        </w:tc>
        <w:tc>
          <w:tcPr>
            <w:tcW w:w="3870" w:type="dxa"/>
            <w:vAlign w:val="center"/>
          </w:tcPr>
          <w:p w14:paraId="49746A28" w14:textId="4C9A5B51" w:rsidR="00B940A5" w:rsidRPr="00312C0E" w:rsidRDefault="00B940A5" w:rsidP="00B940A5">
            <w:pPr>
              <w:pStyle w:val="Names"/>
              <w:rPr>
                <w:rFonts w:cs="Arial"/>
                <w:color w:val="000000"/>
              </w:rPr>
            </w:pPr>
            <w:r>
              <w:rPr>
                <w:rFonts w:cs="Arial"/>
                <w:color w:val="000000"/>
                <w:szCs w:val="20"/>
              </w:rPr>
              <w:t>Rockwell Collins</w:t>
            </w:r>
          </w:p>
        </w:tc>
        <w:tc>
          <w:tcPr>
            <w:tcW w:w="2160" w:type="dxa"/>
          </w:tcPr>
          <w:p w14:paraId="121967DC" w14:textId="77777777" w:rsidR="00B940A5" w:rsidRPr="00FA0B5E" w:rsidRDefault="00B940A5" w:rsidP="00B940A5">
            <w:pPr>
              <w:pStyle w:val="Names"/>
            </w:pPr>
          </w:p>
        </w:tc>
      </w:tr>
      <w:tr w:rsidR="00312C0E" w:rsidRPr="00FA0B5E" w14:paraId="267D89A4" w14:textId="77777777" w:rsidTr="00312C0E">
        <w:tc>
          <w:tcPr>
            <w:tcW w:w="295" w:type="dxa"/>
          </w:tcPr>
          <w:p w14:paraId="267D899F" w14:textId="29169522" w:rsidR="00312C0E" w:rsidRPr="00FA0B5E" w:rsidRDefault="00174063" w:rsidP="00312C0E">
            <w:pPr>
              <w:pStyle w:val="Names"/>
            </w:pPr>
            <w:r>
              <w:t>*</w:t>
            </w:r>
          </w:p>
        </w:tc>
        <w:tc>
          <w:tcPr>
            <w:tcW w:w="1998" w:type="dxa"/>
            <w:vAlign w:val="bottom"/>
          </w:tcPr>
          <w:p w14:paraId="267D89A0" w14:textId="32379304" w:rsidR="00312C0E" w:rsidRPr="00312C0E" w:rsidRDefault="00312C0E" w:rsidP="00312C0E">
            <w:pPr>
              <w:pStyle w:val="Names"/>
              <w:rPr>
                <w:rFonts w:cs="Arial"/>
              </w:rPr>
            </w:pPr>
            <w:r w:rsidRPr="00312C0E">
              <w:rPr>
                <w:rFonts w:cs="Arial"/>
                <w:color w:val="000000"/>
              </w:rPr>
              <w:t>Arnaud</w:t>
            </w:r>
          </w:p>
        </w:tc>
        <w:tc>
          <w:tcPr>
            <w:tcW w:w="1980" w:type="dxa"/>
            <w:vAlign w:val="bottom"/>
          </w:tcPr>
          <w:p w14:paraId="267D89A1" w14:textId="190FCE28" w:rsidR="00312C0E" w:rsidRPr="00312C0E" w:rsidRDefault="00312C0E" w:rsidP="00312C0E">
            <w:pPr>
              <w:pStyle w:val="Names"/>
              <w:rPr>
                <w:rFonts w:cs="Arial"/>
              </w:rPr>
            </w:pPr>
            <w:proofErr w:type="spellStart"/>
            <w:r w:rsidRPr="00312C0E">
              <w:rPr>
                <w:rFonts w:cs="Arial"/>
                <w:color w:val="000000"/>
              </w:rPr>
              <w:t>Grivon</w:t>
            </w:r>
            <w:proofErr w:type="spellEnd"/>
          </w:p>
        </w:tc>
        <w:tc>
          <w:tcPr>
            <w:tcW w:w="3870" w:type="dxa"/>
            <w:vAlign w:val="bottom"/>
          </w:tcPr>
          <w:p w14:paraId="267D89A2" w14:textId="0E6495DF" w:rsidR="00312C0E" w:rsidRPr="00312C0E" w:rsidRDefault="00312C0E" w:rsidP="00312C0E">
            <w:pPr>
              <w:pStyle w:val="Names"/>
              <w:rPr>
                <w:rFonts w:cs="Arial"/>
              </w:rPr>
            </w:pPr>
            <w:r w:rsidRPr="00312C0E">
              <w:rPr>
                <w:rFonts w:cs="Arial"/>
                <w:color w:val="000000"/>
              </w:rPr>
              <w:t>Thales</w:t>
            </w:r>
          </w:p>
        </w:tc>
        <w:tc>
          <w:tcPr>
            <w:tcW w:w="2160" w:type="dxa"/>
          </w:tcPr>
          <w:p w14:paraId="267D89A3" w14:textId="0F8D5638" w:rsidR="00312C0E" w:rsidRPr="00FA0B5E" w:rsidRDefault="00312C0E" w:rsidP="00312C0E">
            <w:pPr>
              <w:pStyle w:val="Names"/>
            </w:pPr>
          </w:p>
        </w:tc>
      </w:tr>
      <w:tr w:rsidR="00312C0E" w:rsidRPr="00FA0B5E" w14:paraId="19E64981" w14:textId="77777777" w:rsidTr="00312C0E">
        <w:tc>
          <w:tcPr>
            <w:tcW w:w="295" w:type="dxa"/>
          </w:tcPr>
          <w:p w14:paraId="6C23F0F3" w14:textId="56899B52" w:rsidR="00312C0E" w:rsidRPr="00FA0B5E" w:rsidRDefault="00174063" w:rsidP="00312C0E">
            <w:pPr>
              <w:pStyle w:val="Names"/>
            </w:pPr>
            <w:r>
              <w:t>*</w:t>
            </w:r>
          </w:p>
        </w:tc>
        <w:tc>
          <w:tcPr>
            <w:tcW w:w="1998" w:type="dxa"/>
            <w:vAlign w:val="bottom"/>
          </w:tcPr>
          <w:p w14:paraId="39DF93D0" w14:textId="22BDC87A" w:rsidR="00312C0E" w:rsidRPr="00312C0E" w:rsidRDefault="00312C0E" w:rsidP="00312C0E">
            <w:pPr>
              <w:pStyle w:val="Names"/>
              <w:rPr>
                <w:rFonts w:cs="Arial"/>
              </w:rPr>
            </w:pPr>
            <w:r w:rsidRPr="00312C0E">
              <w:rPr>
                <w:rFonts w:cs="Arial"/>
                <w:color w:val="000000"/>
              </w:rPr>
              <w:t>Nathalie</w:t>
            </w:r>
          </w:p>
        </w:tc>
        <w:tc>
          <w:tcPr>
            <w:tcW w:w="1980" w:type="dxa"/>
            <w:vAlign w:val="bottom"/>
          </w:tcPr>
          <w:p w14:paraId="51366967" w14:textId="65C0B8A0" w:rsidR="00312C0E" w:rsidRPr="00312C0E" w:rsidRDefault="00312C0E" w:rsidP="00312C0E">
            <w:pPr>
              <w:pStyle w:val="Names"/>
              <w:rPr>
                <w:rFonts w:cs="Arial"/>
              </w:rPr>
            </w:pPr>
            <w:proofErr w:type="spellStart"/>
            <w:r w:rsidRPr="00312C0E">
              <w:rPr>
                <w:rFonts w:cs="Arial"/>
                <w:color w:val="000000"/>
              </w:rPr>
              <w:t>Lefevre</w:t>
            </w:r>
            <w:proofErr w:type="spellEnd"/>
          </w:p>
        </w:tc>
        <w:tc>
          <w:tcPr>
            <w:tcW w:w="3870" w:type="dxa"/>
            <w:vAlign w:val="bottom"/>
          </w:tcPr>
          <w:p w14:paraId="2F768244" w14:textId="2D77B6D5" w:rsidR="00312C0E" w:rsidRPr="00312C0E" w:rsidRDefault="00312C0E" w:rsidP="00312C0E">
            <w:pPr>
              <w:pStyle w:val="Names"/>
              <w:rPr>
                <w:rFonts w:cs="Arial"/>
              </w:rPr>
            </w:pPr>
            <w:r w:rsidRPr="00312C0E">
              <w:rPr>
                <w:rFonts w:cs="Arial"/>
                <w:color w:val="000000"/>
              </w:rPr>
              <w:t>SAFRAN GROUP</w:t>
            </w:r>
          </w:p>
        </w:tc>
        <w:tc>
          <w:tcPr>
            <w:tcW w:w="2160" w:type="dxa"/>
          </w:tcPr>
          <w:p w14:paraId="7070291E" w14:textId="77777777" w:rsidR="00312C0E" w:rsidRDefault="00312C0E" w:rsidP="00312C0E">
            <w:pPr>
              <w:pStyle w:val="Names"/>
            </w:pPr>
          </w:p>
        </w:tc>
      </w:tr>
      <w:tr w:rsidR="00B940A5" w:rsidRPr="00FA0B5E" w14:paraId="3177ED97" w14:textId="77777777" w:rsidTr="00720C85">
        <w:tc>
          <w:tcPr>
            <w:tcW w:w="295" w:type="dxa"/>
          </w:tcPr>
          <w:p w14:paraId="65F51E00" w14:textId="3BAAE381" w:rsidR="00B940A5" w:rsidRDefault="00B940A5" w:rsidP="00B940A5">
            <w:pPr>
              <w:pStyle w:val="Names"/>
            </w:pPr>
            <w:r>
              <w:t>*</w:t>
            </w:r>
          </w:p>
        </w:tc>
        <w:tc>
          <w:tcPr>
            <w:tcW w:w="1998" w:type="dxa"/>
            <w:vAlign w:val="center"/>
          </w:tcPr>
          <w:p w14:paraId="078CDA84" w14:textId="43A6643A" w:rsidR="00B940A5" w:rsidRPr="00312C0E" w:rsidRDefault="00B940A5" w:rsidP="00B940A5">
            <w:pPr>
              <w:pStyle w:val="Names"/>
              <w:rPr>
                <w:rFonts w:cs="Arial"/>
                <w:color w:val="000000"/>
              </w:rPr>
            </w:pPr>
            <w:r>
              <w:rPr>
                <w:rFonts w:cs="Arial"/>
                <w:szCs w:val="20"/>
              </w:rPr>
              <w:t>Vijay</w:t>
            </w:r>
          </w:p>
        </w:tc>
        <w:tc>
          <w:tcPr>
            <w:tcW w:w="1980" w:type="dxa"/>
            <w:vAlign w:val="center"/>
          </w:tcPr>
          <w:p w14:paraId="41A7BEBD" w14:textId="615FE833" w:rsidR="00B940A5" w:rsidRPr="00312C0E" w:rsidRDefault="00B940A5" w:rsidP="00B940A5">
            <w:pPr>
              <w:pStyle w:val="Names"/>
              <w:rPr>
                <w:rFonts w:cs="Arial"/>
                <w:color w:val="000000"/>
              </w:rPr>
            </w:pPr>
            <w:r>
              <w:rPr>
                <w:rFonts w:cs="Arial"/>
                <w:szCs w:val="20"/>
              </w:rPr>
              <w:t>Kumar</w:t>
            </w:r>
          </w:p>
        </w:tc>
        <w:tc>
          <w:tcPr>
            <w:tcW w:w="3870" w:type="dxa"/>
            <w:vAlign w:val="bottom"/>
          </w:tcPr>
          <w:p w14:paraId="5B4D28C2" w14:textId="3C393A91" w:rsidR="00B940A5" w:rsidRPr="00B940A5" w:rsidRDefault="00B940A5" w:rsidP="00720C85">
            <w:pPr>
              <w:rPr>
                <w:rFonts w:cs="Arial"/>
                <w:color w:val="000000"/>
                <w:szCs w:val="20"/>
              </w:rPr>
            </w:pPr>
            <w:r>
              <w:rPr>
                <w:rFonts w:cs="Arial"/>
                <w:color w:val="000000"/>
                <w:szCs w:val="20"/>
              </w:rPr>
              <w:t>Lockheed Martin</w:t>
            </w:r>
          </w:p>
        </w:tc>
        <w:tc>
          <w:tcPr>
            <w:tcW w:w="2160" w:type="dxa"/>
          </w:tcPr>
          <w:p w14:paraId="3A217AFC" w14:textId="77777777" w:rsidR="00B940A5" w:rsidRDefault="00B940A5" w:rsidP="00B940A5">
            <w:pPr>
              <w:pStyle w:val="Names"/>
            </w:pPr>
          </w:p>
        </w:tc>
      </w:tr>
      <w:tr w:rsidR="00312C0E" w:rsidRPr="00FA0B5E" w14:paraId="231365AF" w14:textId="77777777" w:rsidTr="00312C0E">
        <w:tc>
          <w:tcPr>
            <w:tcW w:w="295" w:type="dxa"/>
          </w:tcPr>
          <w:p w14:paraId="706377F3" w14:textId="3FA0BBA1" w:rsidR="00312C0E" w:rsidRPr="00FA0B5E" w:rsidRDefault="00312C0E" w:rsidP="00312C0E">
            <w:pPr>
              <w:pStyle w:val="Names"/>
            </w:pPr>
            <w:r>
              <w:t>*</w:t>
            </w:r>
          </w:p>
        </w:tc>
        <w:tc>
          <w:tcPr>
            <w:tcW w:w="1998" w:type="dxa"/>
            <w:vAlign w:val="bottom"/>
          </w:tcPr>
          <w:p w14:paraId="32FD9DD7" w14:textId="64ADC1A6" w:rsidR="00312C0E" w:rsidRPr="00312C0E" w:rsidRDefault="00312C0E" w:rsidP="00312C0E">
            <w:pPr>
              <w:pStyle w:val="Names"/>
              <w:rPr>
                <w:rFonts w:cs="Arial"/>
              </w:rPr>
            </w:pPr>
            <w:r w:rsidRPr="00312C0E">
              <w:rPr>
                <w:rFonts w:cs="Arial"/>
                <w:color w:val="000000"/>
              </w:rPr>
              <w:t>Scott</w:t>
            </w:r>
          </w:p>
        </w:tc>
        <w:tc>
          <w:tcPr>
            <w:tcW w:w="1980" w:type="dxa"/>
            <w:vAlign w:val="bottom"/>
          </w:tcPr>
          <w:p w14:paraId="469CFE9F" w14:textId="78EAE6F3" w:rsidR="00312C0E" w:rsidRPr="00312C0E" w:rsidRDefault="00312C0E" w:rsidP="00312C0E">
            <w:pPr>
              <w:pStyle w:val="Names"/>
              <w:rPr>
                <w:rFonts w:cs="Arial"/>
              </w:rPr>
            </w:pPr>
            <w:r w:rsidRPr="00312C0E">
              <w:rPr>
                <w:rFonts w:cs="Arial"/>
                <w:color w:val="000000"/>
              </w:rPr>
              <w:t>Meyer</w:t>
            </w:r>
          </w:p>
        </w:tc>
        <w:tc>
          <w:tcPr>
            <w:tcW w:w="3870" w:type="dxa"/>
            <w:vAlign w:val="bottom"/>
          </w:tcPr>
          <w:p w14:paraId="0FE0F879" w14:textId="66AAFCD3" w:rsidR="00312C0E" w:rsidRPr="00312C0E" w:rsidRDefault="00312C0E" w:rsidP="00312C0E">
            <w:pPr>
              <w:pStyle w:val="Names"/>
              <w:rPr>
                <w:rFonts w:cs="Arial"/>
              </w:rPr>
            </w:pPr>
            <w:r w:rsidRPr="00312C0E">
              <w:rPr>
                <w:rFonts w:cs="Arial"/>
                <w:color w:val="000000"/>
              </w:rPr>
              <w:t>UTC Aerospace (Goodrich)</w:t>
            </w:r>
          </w:p>
        </w:tc>
        <w:tc>
          <w:tcPr>
            <w:tcW w:w="2160" w:type="dxa"/>
          </w:tcPr>
          <w:p w14:paraId="44A90436" w14:textId="05C327A8" w:rsidR="00312C0E" w:rsidRDefault="00312C0E" w:rsidP="00312C0E">
            <w:pPr>
              <w:pStyle w:val="Names"/>
            </w:pPr>
            <w:r>
              <w:t>Secretary</w:t>
            </w:r>
          </w:p>
        </w:tc>
      </w:tr>
      <w:tr w:rsidR="00312C0E" w:rsidRPr="00FA0B5E" w14:paraId="567B3D22" w14:textId="77777777" w:rsidTr="00312C0E">
        <w:tc>
          <w:tcPr>
            <w:tcW w:w="295" w:type="dxa"/>
          </w:tcPr>
          <w:p w14:paraId="2C74AB07" w14:textId="1C7120D4" w:rsidR="00312C0E" w:rsidRPr="00FA0B5E" w:rsidRDefault="00174063" w:rsidP="00312C0E">
            <w:pPr>
              <w:pStyle w:val="Names"/>
            </w:pPr>
            <w:r>
              <w:t>*</w:t>
            </w:r>
          </w:p>
        </w:tc>
        <w:tc>
          <w:tcPr>
            <w:tcW w:w="1998" w:type="dxa"/>
            <w:vAlign w:val="bottom"/>
          </w:tcPr>
          <w:p w14:paraId="12D1F1FB" w14:textId="48B210EE" w:rsidR="00312C0E" w:rsidRPr="00312C0E" w:rsidRDefault="00312C0E" w:rsidP="00312C0E">
            <w:pPr>
              <w:pStyle w:val="Names"/>
              <w:rPr>
                <w:rFonts w:cs="Arial"/>
              </w:rPr>
            </w:pPr>
            <w:r w:rsidRPr="00312C0E">
              <w:rPr>
                <w:rFonts w:cs="Arial"/>
                <w:color w:val="000000"/>
              </w:rPr>
              <w:t>Junta</w:t>
            </w:r>
          </w:p>
        </w:tc>
        <w:tc>
          <w:tcPr>
            <w:tcW w:w="1980" w:type="dxa"/>
            <w:vAlign w:val="bottom"/>
          </w:tcPr>
          <w:p w14:paraId="1B3CD3C5" w14:textId="724051F9" w:rsidR="00312C0E" w:rsidRPr="00312C0E" w:rsidRDefault="00312C0E" w:rsidP="00312C0E">
            <w:pPr>
              <w:pStyle w:val="Names"/>
              <w:rPr>
                <w:rFonts w:cs="Arial"/>
              </w:rPr>
            </w:pPr>
            <w:proofErr w:type="spellStart"/>
            <w:r w:rsidRPr="00312C0E">
              <w:rPr>
                <w:rFonts w:cs="Arial"/>
                <w:color w:val="000000"/>
              </w:rPr>
              <w:t>Okutsu</w:t>
            </w:r>
            <w:proofErr w:type="spellEnd"/>
          </w:p>
        </w:tc>
        <w:tc>
          <w:tcPr>
            <w:tcW w:w="3870" w:type="dxa"/>
            <w:vAlign w:val="bottom"/>
          </w:tcPr>
          <w:p w14:paraId="0794FF24" w14:textId="2895C3A8" w:rsidR="00312C0E" w:rsidRPr="00312C0E" w:rsidRDefault="00312C0E" w:rsidP="00312C0E">
            <w:pPr>
              <w:pStyle w:val="Names"/>
              <w:rPr>
                <w:rFonts w:cs="Arial"/>
              </w:rPr>
            </w:pPr>
            <w:r w:rsidRPr="00312C0E">
              <w:rPr>
                <w:rFonts w:cs="Arial"/>
                <w:color w:val="000000"/>
              </w:rPr>
              <w:t>Honeywell Aerospace</w:t>
            </w:r>
          </w:p>
        </w:tc>
        <w:tc>
          <w:tcPr>
            <w:tcW w:w="2160" w:type="dxa"/>
          </w:tcPr>
          <w:p w14:paraId="7A0CC1FF" w14:textId="77777777" w:rsidR="00312C0E" w:rsidRDefault="00312C0E" w:rsidP="00312C0E">
            <w:pPr>
              <w:pStyle w:val="Names"/>
            </w:pPr>
          </w:p>
        </w:tc>
      </w:tr>
      <w:tr w:rsidR="00312C0E" w:rsidRPr="00FA0B5E" w14:paraId="188431BC" w14:textId="77777777" w:rsidTr="00312C0E">
        <w:tc>
          <w:tcPr>
            <w:tcW w:w="295" w:type="dxa"/>
          </w:tcPr>
          <w:p w14:paraId="2A3CE192" w14:textId="14BD0AFD" w:rsidR="00312C0E" w:rsidRPr="00FA0B5E" w:rsidRDefault="00174063" w:rsidP="00312C0E">
            <w:pPr>
              <w:pStyle w:val="Names"/>
            </w:pPr>
            <w:r>
              <w:t>*</w:t>
            </w:r>
          </w:p>
        </w:tc>
        <w:tc>
          <w:tcPr>
            <w:tcW w:w="1998" w:type="dxa"/>
            <w:vAlign w:val="bottom"/>
          </w:tcPr>
          <w:p w14:paraId="7CA66751" w14:textId="7912C264" w:rsidR="00312C0E" w:rsidRPr="00312C0E" w:rsidRDefault="00312C0E" w:rsidP="00312C0E">
            <w:pPr>
              <w:pStyle w:val="Names"/>
              <w:rPr>
                <w:rFonts w:cs="Arial"/>
              </w:rPr>
            </w:pPr>
            <w:r w:rsidRPr="00312C0E">
              <w:rPr>
                <w:rFonts w:cs="Arial"/>
                <w:color w:val="000000"/>
              </w:rPr>
              <w:t>Gilbert</w:t>
            </w:r>
          </w:p>
        </w:tc>
        <w:tc>
          <w:tcPr>
            <w:tcW w:w="1980" w:type="dxa"/>
            <w:vAlign w:val="bottom"/>
          </w:tcPr>
          <w:p w14:paraId="16D680FE" w14:textId="5FB86658" w:rsidR="00312C0E" w:rsidRPr="00312C0E" w:rsidRDefault="00312C0E" w:rsidP="00312C0E">
            <w:pPr>
              <w:pStyle w:val="Names"/>
              <w:rPr>
                <w:rFonts w:cs="Arial"/>
              </w:rPr>
            </w:pPr>
            <w:r w:rsidRPr="00312C0E">
              <w:rPr>
                <w:rFonts w:cs="Arial"/>
                <w:color w:val="000000"/>
              </w:rPr>
              <w:t>Shelby</w:t>
            </w:r>
          </w:p>
        </w:tc>
        <w:tc>
          <w:tcPr>
            <w:tcW w:w="3870" w:type="dxa"/>
            <w:vAlign w:val="bottom"/>
          </w:tcPr>
          <w:p w14:paraId="3E1F5FC6" w14:textId="403B2D16" w:rsidR="00312C0E" w:rsidRPr="00312C0E" w:rsidRDefault="00312C0E" w:rsidP="00312C0E">
            <w:pPr>
              <w:pStyle w:val="Names"/>
              <w:rPr>
                <w:rFonts w:cs="Arial"/>
              </w:rPr>
            </w:pPr>
            <w:r w:rsidRPr="00312C0E">
              <w:rPr>
                <w:rFonts w:cs="Arial"/>
                <w:color w:val="000000"/>
              </w:rPr>
              <w:t>Raytheon</w:t>
            </w:r>
          </w:p>
        </w:tc>
        <w:tc>
          <w:tcPr>
            <w:tcW w:w="2160" w:type="dxa"/>
          </w:tcPr>
          <w:p w14:paraId="54A9FE0E" w14:textId="77777777" w:rsidR="00312C0E" w:rsidRDefault="00312C0E" w:rsidP="00312C0E">
            <w:pPr>
              <w:pStyle w:val="Names"/>
            </w:pPr>
          </w:p>
        </w:tc>
      </w:tr>
    </w:tbl>
    <w:p w14:paraId="267D89A5" w14:textId="77777777"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272E48" w:rsidRPr="00FA0B5E" w14:paraId="267D89AB" w14:textId="77777777" w:rsidTr="0072739C">
        <w:tc>
          <w:tcPr>
            <w:tcW w:w="295" w:type="dxa"/>
          </w:tcPr>
          <w:p w14:paraId="267D89A6" w14:textId="77777777" w:rsidR="00272E48" w:rsidRPr="00FA0B5E" w:rsidRDefault="00272E48" w:rsidP="00321EAD">
            <w:pPr>
              <w:pStyle w:val="Names"/>
            </w:pPr>
          </w:p>
        </w:tc>
        <w:tc>
          <w:tcPr>
            <w:tcW w:w="1998" w:type="dxa"/>
          </w:tcPr>
          <w:p w14:paraId="267D89A7" w14:textId="77777777" w:rsidR="00272E48" w:rsidRPr="00FA0B5E" w:rsidRDefault="00272E48" w:rsidP="00321EAD">
            <w:pPr>
              <w:pStyle w:val="Names"/>
            </w:pPr>
            <w:r w:rsidRPr="00FA0B5E">
              <w:t>NAME</w:t>
            </w:r>
          </w:p>
        </w:tc>
        <w:tc>
          <w:tcPr>
            <w:tcW w:w="1980" w:type="dxa"/>
          </w:tcPr>
          <w:p w14:paraId="267D89A8" w14:textId="77777777" w:rsidR="00272E48" w:rsidRPr="00FA0B5E" w:rsidRDefault="00272E48" w:rsidP="007E5384">
            <w:pPr>
              <w:pStyle w:val="Names"/>
            </w:pPr>
          </w:p>
        </w:tc>
        <w:tc>
          <w:tcPr>
            <w:tcW w:w="3870" w:type="dxa"/>
          </w:tcPr>
          <w:p w14:paraId="267D89A9" w14:textId="77777777" w:rsidR="00272E48" w:rsidRPr="00FA0B5E" w:rsidRDefault="00272E48" w:rsidP="00321EAD">
            <w:pPr>
              <w:pStyle w:val="Names"/>
            </w:pPr>
            <w:r w:rsidRPr="00FA0B5E">
              <w:t>COMPANY NAME</w:t>
            </w:r>
          </w:p>
        </w:tc>
        <w:tc>
          <w:tcPr>
            <w:tcW w:w="2160" w:type="dxa"/>
          </w:tcPr>
          <w:p w14:paraId="267D89AA" w14:textId="77777777" w:rsidR="00272E48" w:rsidRPr="00FA0B5E" w:rsidRDefault="00272E48" w:rsidP="00321EAD">
            <w:pPr>
              <w:pStyle w:val="Names"/>
            </w:pPr>
          </w:p>
        </w:tc>
      </w:tr>
      <w:tr w:rsidR="00272E48" w:rsidRPr="00FA0B5E" w14:paraId="267D89B1" w14:textId="77777777" w:rsidTr="0072739C">
        <w:tc>
          <w:tcPr>
            <w:tcW w:w="295" w:type="dxa"/>
          </w:tcPr>
          <w:p w14:paraId="267D89AC" w14:textId="77777777" w:rsidR="00272E48" w:rsidRPr="00FA0B5E" w:rsidRDefault="00272E48" w:rsidP="00321EAD">
            <w:pPr>
              <w:pStyle w:val="Names"/>
            </w:pPr>
          </w:p>
        </w:tc>
        <w:tc>
          <w:tcPr>
            <w:tcW w:w="1998" w:type="dxa"/>
          </w:tcPr>
          <w:p w14:paraId="267D89AD" w14:textId="77777777" w:rsidR="00272E48" w:rsidRPr="00FA0B5E" w:rsidRDefault="00272E48" w:rsidP="00321EAD">
            <w:pPr>
              <w:pStyle w:val="Names"/>
            </w:pPr>
          </w:p>
        </w:tc>
        <w:tc>
          <w:tcPr>
            <w:tcW w:w="1980" w:type="dxa"/>
          </w:tcPr>
          <w:p w14:paraId="267D89AE" w14:textId="77777777" w:rsidR="00272E48" w:rsidRPr="00FA0B5E" w:rsidRDefault="00272E48" w:rsidP="00321EAD">
            <w:pPr>
              <w:pStyle w:val="Names"/>
            </w:pPr>
          </w:p>
        </w:tc>
        <w:tc>
          <w:tcPr>
            <w:tcW w:w="3870" w:type="dxa"/>
          </w:tcPr>
          <w:p w14:paraId="267D89AF" w14:textId="77777777" w:rsidR="00272E48" w:rsidRPr="00FA0B5E" w:rsidRDefault="00272E48" w:rsidP="00321EAD">
            <w:pPr>
              <w:pStyle w:val="Names"/>
            </w:pPr>
          </w:p>
        </w:tc>
        <w:tc>
          <w:tcPr>
            <w:tcW w:w="2160" w:type="dxa"/>
          </w:tcPr>
          <w:p w14:paraId="267D89B0" w14:textId="77777777" w:rsidR="00272E48" w:rsidRPr="00FA0B5E" w:rsidRDefault="00272E48" w:rsidP="00321EAD">
            <w:pPr>
              <w:pStyle w:val="Names"/>
            </w:pPr>
          </w:p>
        </w:tc>
      </w:tr>
      <w:tr w:rsidR="00312C0E" w:rsidRPr="00FA0B5E" w14:paraId="267D89B7" w14:textId="77777777" w:rsidTr="00312C0E">
        <w:tc>
          <w:tcPr>
            <w:tcW w:w="295" w:type="dxa"/>
          </w:tcPr>
          <w:p w14:paraId="267D89B2" w14:textId="2C89266E" w:rsidR="00312C0E" w:rsidRPr="00FA0B5E" w:rsidRDefault="00174063" w:rsidP="00312C0E">
            <w:pPr>
              <w:pStyle w:val="Names"/>
            </w:pPr>
            <w:r>
              <w:t>*</w:t>
            </w:r>
          </w:p>
        </w:tc>
        <w:tc>
          <w:tcPr>
            <w:tcW w:w="1998" w:type="dxa"/>
            <w:vAlign w:val="bottom"/>
          </w:tcPr>
          <w:p w14:paraId="267D89B3" w14:textId="4E9BC998" w:rsidR="00312C0E" w:rsidRPr="00312C0E" w:rsidRDefault="00312C0E" w:rsidP="00312C0E">
            <w:pPr>
              <w:pStyle w:val="Names"/>
              <w:rPr>
                <w:rFonts w:cs="Arial"/>
              </w:rPr>
            </w:pPr>
            <w:r w:rsidRPr="00312C0E">
              <w:rPr>
                <w:rFonts w:cs="Arial"/>
                <w:color w:val="000000"/>
              </w:rPr>
              <w:t>Jim</w:t>
            </w:r>
          </w:p>
        </w:tc>
        <w:tc>
          <w:tcPr>
            <w:tcW w:w="1980" w:type="dxa"/>
            <w:vAlign w:val="bottom"/>
          </w:tcPr>
          <w:p w14:paraId="267D89B4" w14:textId="4991B08C" w:rsidR="00312C0E" w:rsidRPr="00312C0E" w:rsidRDefault="00312C0E" w:rsidP="00312C0E">
            <w:pPr>
              <w:pStyle w:val="Names"/>
              <w:rPr>
                <w:rFonts w:cs="Arial"/>
              </w:rPr>
            </w:pPr>
            <w:r w:rsidRPr="00312C0E">
              <w:rPr>
                <w:rFonts w:cs="Arial"/>
                <w:color w:val="000000"/>
              </w:rPr>
              <w:t>Barry</w:t>
            </w:r>
          </w:p>
        </w:tc>
        <w:tc>
          <w:tcPr>
            <w:tcW w:w="3870" w:type="dxa"/>
            <w:vAlign w:val="bottom"/>
          </w:tcPr>
          <w:p w14:paraId="267D89B5" w14:textId="58ADFE41" w:rsidR="00312C0E" w:rsidRPr="00312C0E" w:rsidRDefault="00312C0E" w:rsidP="00312C0E">
            <w:pPr>
              <w:pStyle w:val="Names"/>
              <w:rPr>
                <w:rFonts w:cs="Arial"/>
              </w:rPr>
            </w:pPr>
            <w:r w:rsidRPr="00312C0E">
              <w:rPr>
                <w:rFonts w:cs="Arial"/>
                <w:color w:val="000000"/>
              </w:rPr>
              <w:t>Eltek USA Inc</w:t>
            </w:r>
            <w:r w:rsidR="00B940A5">
              <w:rPr>
                <w:rFonts w:cs="Arial"/>
                <w:color w:val="000000"/>
              </w:rPr>
              <w:t>.</w:t>
            </w:r>
          </w:p>
        </w:tc>
        <w:tc>
          <w:tcPr>
            <w:tcW w:w="2160" w:type="dxa"/>
            <w:tcMar>
              <w:right w:w="0" w:type="dxa"/>
            </w:tcMar>
          </w:tcPr>
          <w:p w14:paraId="267D89B6" w14:textId="1F7BEA59" w:rsidR="00312C0E" w:rsidRPr="00312C0E" w:rsidRDefault="00312C0E" w:rsidP="00312C0E">
            <w:pPr>
              <w:pStyle w:val="Names"/>
              <w:rPr>
                <w:rFonts w:cs="Arial"/>
              </w:rPr>
            </w:pPr>
          </w:p>
        </w:tc>
      </w:tr>
      <w:tr w:rsidR="00312C0E" w:rsidRPr="00FA0B5E" w14:paraId="267D89BD" w14:textId="77777777" w:rsidTr="00312C0E">
        <w:tc>
          <w:tcPr>
            <w:tcW w:w="295" w:type="dxa"/>
          </w:tcPr>
          <w:p w14:paraId="267D89B8" w14:textId="5F5F0CE9" w:rsidR="00312C0E" w:rsidRPr="00FA0B5E" w:rsidRDefault="00174063" w:rsidP="00312C0E">
            <w:pPr>
              <w:pStyle w:val="Names"/>
            </w:pPr>
            <w:r>
              <w:t>*</w:t>
            </w:r>
          </w:p>
        </w:tc>
        <w:tc>
          <w:tcPr>
            <w:tcW w:w="1998" w:type="dxa"/>
            <w:vAlign w:val="bottom"/>
          </w:tcPr>
          <w:p w14:paraId="267D89B9" w14:textId="6FDA0E5A" w:rsidR="00312C0E" w:rsidRPr="00312C0E" w:rsidRDefault="00312C0E" w:rsidP="00312C0E">
            <w:pPr>
              <w:pStyle w:val="Names"/>
              <w:rPr>
                <w:rFonts w:cs="Arial"/>
              </w:rPr>
            </w:pPr>
            <w:r w:rsidRPr="00312C0E">
              <w:rPr>
                <w:rFonts w:cs="Arial"/>
                <w:color w:val="000000"/>
              </w:rPr>
              <w:t>Cristiano</w:t>
            </w:r>
          </w:p>
        </w:tc>
        <w:tc>
          <w:tcPr>
            <w:tcW w:w="1980" w:type="dxa"/>
            <w:vAlign w:val="bottom"/>
          </w:tcPr>
          <w:p w14:paraId="267D89BA" w14:textId="1B65917A" w:rsidR="00312C0E" w:rsidRPr="00312C0E" w:rsidRDefault="00312C0E" w:rsidP="00312C0E">
            <w:pPr>
              <w:pStyle w:val="Names"/>
              <w:rPr>
                <w:rFonts w:cs="Arial"/>
              </w:rPr>
            </w:pPr>
            <w:proofErr w:type="spellStart"/>
            <w:r w:rsidRPr="00312C0E">
              <w:rPr>
                <w:rFonts w:cs="Arial"/>
                <w:color w:val="000000"/>
              </w:rPr>
              <w:t>Bazzi</w:t>
            </w:r>
            <w:proofErr w:type="spellEnd"/>
          </w:p>
        </w:tc>
        <w:tc>
          <w:tcPr>
            <w:tcW w:w="3870" w:type="dxa"/>
            <w:vAlign w:val="bottom"/>
          </w:tcPr>
          <w:p w14:paraId="267D89BB" w14:textId="228AB5B0" w:rsidR="00312C0E" w:rsidRPr="00312C0E" w:rsidRDefault="00312C0E" w:rsidP="00312C0E">
            <w:pPr>
              <w:pStyle w:val="Names"/>
              <w:rPr>
                <w:rFonts w:cs="Arial"/>
              </w:rPr>
            </w:pPr>
            <w:r w:rsidRPr="00312C0E">
              <w:rPr>
                <w:rFonts w:cs="Arial"/>
                <w:color w:val="000000"/>
              </w:rPr>
              <w:t>SOMACIS S.p.A.</w:t>
            </w:r>
          </w:p>
        </w:tc>
        <w:tc>
          <w:tcPr>
            <w:tcW w:w="2160" w:type="dxa"/>
          </w:tcPr>
          <w:p w14:paraId="267D89BC" w14:textId="77777777" w:rsidR="00312C0E" w:rsidRPr="00312C0E" w:rsidRDefault="00312C0E" w:rsidP="00312C0E">
            <w:pPr>
              <w:pStyle w:val="Names"/>
              <w:rPr>
                <w:rFonts w:cs="Arial"/>
              </w:rPr>
            </w:pPr>
          </w:p>
        </w:tc>
      </w:tr>
      <w:tr w:rsidR="00312C0E" w:rsidRPr="00FA0B5E" w14:paraId="267D89C3" w14:textId="77777777" w:rsidTr="00312C0E">
        <w:tc>
          <w:tcPr>
            <w:tcW w:w="295" w:type="dxa"/>
          </w:tcPr>
          <w:p w14:paraId="267D89BE" w14:textId="77777777" w:rsidR="00312C0E" w:rsidRPr="00FA0B5E" w:rsidRDefault="00312C0E" w:rsidP="00312C0E">
            <w:pPr>
              <w:pStyle w:val="Names"/>
            </w:pPr>
          </w:p>
        </w:tc>
        <w:tc>
          <w:tcPr>
            <w:tcW w:w="1998" w:type="dxa"/>
            <w:vAlign w:val="bottom"/>
          </w:tcPr>
          <w:p w14:paraId="267D89BF" w14:textId="3E68D58A" w:rsidR="00312C0E" w:rsidRPr="00312C0E" w:rsidRDefault="00312C0E" w:rsidP="00312C0E">
            <w:pPr>
              <w:pStyle w:val="Names"/>
              <w:rPr>
                <w:rFonts w:cs="Arial"/>
              </w:rPr>
            </w:pPr>
            <w:r w:rsidRPr="00312C0E">
              <w:rPr>
                <w:rFonts w:cs="Arial"/>
                <w:color w:val="000000"/>
              </w:rPr>
              <w:t>Sean</w:t>
            </w:r>
          </w:p>
        </w:tc>
        <w:tc>
          <w:tcPr>
            <w:tcW w:w="1980" w:type="dxa"/>
            <w:vAlign w:val="bottom"/>
          </w:tcPr>
          <w:p w14:paraId="267D89C0" w14:textId="56D4D63D" w:rsidR="00312C0E" w:rsidRPr="00312C0E" w:rsidRDefault="00312C0E" w:rsidP="00312C0E">
            <w:pPr>
              <w:pStyle w:val="Names"/>
              <w:rPr>
                <w:rFonts w:cs="Arial"/>
              </w:rPr>
            </w:pPr>
            <w:r w:rsidRPr="00312C0E">
              <w:rPr>
                <w:rFonts w:cs="Arial"/>
                <w:color w:val="000000"/>
              </w:rPr>
              <w:t>Binder</w:t>
            </w:r>
          </w:p>
        </w:tc>
        <w:tc>
          <w:tcPr>
            <w:tcW w:w="3870" w:type="dxa"/>
            <w:vAlign w:val="bottom"/>
          </w:tcPr>
          <w:p w14:paraId="267D89C1" w14:textId="3E2BCA76" w:rsidR="00312C0E" w:rsidRPr="00312C0E" w:rsidRDefault="00312C0E" w:rsidP="00312C0E">
            <w:pPr>
              <w:pStyle w:val="Names"/>
              <w:rPr>
                <w:rFonts w:cs="Arial"/>
              </w:rPr>
            </w:pPr>
            <w:r w:rsidRPr="00312C0E">
              <w:rPr>
                <w:rFonts w:cs="Arial"/>
                <w:color w:val="000000"/>
              </w:rPr>
              <w:t>Calumet Electronics Corporation</w:t>
            </w:r>
          </w:p>
        </w:tc>
        <w:tc>
          <w:tcPr>
            <w:tcW w:w="2160" w:type="dxa"/>
          </w:tcPr>
          <w:p w14:paraId="267D89C2" w14:textId="77777777" w:rsidR="00312C0E" w:rsidRPr="00312C0E" w:rsidRDefault="00312C0E" w:rsidP="00312C0E">
            <w:pPr>
              <w:pStyle w:val="Names"/>
              <w:rPr>
                <w:rFonts w:cs="Arial"/>
              </w:rPr>
            </w:pPr>
          </w:p>
        </w:tc>
      </w:tr>
      <w:tr w:rsidR="00B940A5" w:rsidRPr="00FA0B5E" w14:paraId="27A95339" w14:textId="77777777" w:rsidTr="00720C85">
        <w:tc>
          <w:tcPr>
            <w:tcW w:w="295" w:type="dxa"/>
          </w:tcPr>
          <w:p w14:paraId="3DEA69C9" w14:textId="77777777" w:rsidR="00B940A5" w:rsidRPr="00FA0B5E" w:rsidRDefault="00B940A5" w:rsidP="00B940A5">
            <w:pPr>
              <w:pStyle w:val="Names"/>
            </w:pPr>
          </w:p>
        </w:tc>
        <w:tc>
          <w:tcPr>
            <w:tcW w:w="1998" w:type="dxa"/>
            <w:vAlign w:val="center"/>
          </w:tcPr>
          <w:p w14:paraId="64E91278" w14:textId="64A18451" w:rsidR="00B940A5" w:rsidRPr="00312C0E" w:rsidRDefault="00B940A5" w:rsidP="00B940A5">
            <w:pPr>
              <w:pStyle w:val="Names"/>
              <w:rPr>
                <w:rFonts w:cs="Arial"/>
                <w:color w:val="000000"/>
              </w:rPr>
            </w:pPr>
            <w:r>
              <w:rPr>
                <w:rFonts w:cs="Arial"/>
                <w:szCs w:val="20"/>
              </w:rPr>
              <w:t>Dave</w:t>
            </w:r>
          </w:p>
        </w:tc>
        <w:tc>
          <w:tcPr>
            <w:tcW w:w="1980" w:type="dxa"/>
            <w:vAlign w:val="center"/>
          </w:tcPr>
          <w:p w14:paraId="5C766640" w14:textId="235DF264" w:rsidR="00B940A5" w:rsidRPr="00312C0E" w:rsidRDefault="00B940A5" w:rsidP="00B940A5">
            <w:pPr>
              <w:pStyle w:val="Names"/>
              <w:rPr>
                <w:rFonts w:cs="Arial"/>
                <w:color w:val="000000"/>
              </w:rPr>
            </w:pPr>
            <w:proofErr w:type="spellStart"/>
            <w:r>
              <w:rPr>
                <w:rFonts w:cs="Arial"/>
                <w:szCs w:val="20"/>
              </w:rPr>
              <w:t>Dirkman</w:t>
            </w:r>
            <w:proofErr w:type="spellEnd"/>
          </w:p>
        </w:tc>
        <w:tc>
          <w:tcPr>
            <w:tcW w:w="3870" w:type="dxa"/>
            <w:vAlign w:val="bottom"/>
          </w:tcPr>
          <w:p w14:paraId="453D8B3A" w14:textId="58609C4C" w:rsidR="00B940A5" w:rsidRPr="00B940A5" w:rsidRDefault="00B940A5" w:rsidP="00720C85">
            <w:pPr>
              <w:rPr>
                <w:rFonts w:cs="Arial"/>
                <w:color w:val="000000"/>
                <w:szCs w:val="20"/>
              </w:rPr>
            </w:pPr>
            <w:r>
              <w:rPr>
                <w:rFonts w:cs="Arial"/>
                <w:color w:val="000000"/>
                <w:szCs w:val="20"/>
              </w:rPr>
              <w:t>Quality Circuits, Inc.</w:t>
            </w:r>
          </w:p>
        </w:tc>
        <w:tc>
          <w:tcPr>
            <w:tcW w:w="2160" w:type="dxa"/>
          </w:tcPr>
          <w:p w14:paraId="65131213" w14:textId="77777777" w:rsidR="00B940A5" w:rsidRPr="00312C0E" w:rsidRDefault="00B940A5" w:rsidP="00B940A5">
            <w:pPr>
              <w:pStyle w:val="Names"/>
              <w:rPr>
                <w:rFonts w:cs="Arial"/>
              </w:rPr>
            </w:pPr>
          </w:p>
        </w:tc>
      </w:tr>
      <w:tr w:rsidR="00312C0E" w:rsidRPr="00FA0B5E" w14:paraId="4B03DFEE" w14:textId="77777777" w:rsidTr="00312C0E">
        <w:tc>
          <w:tcPr>
            <w:tcW w:w="295" w:type="dxa"/>
          </w:tcPr>
          <w:p w14:paraId="3D82CF12" w14:textId="77777777" w:rsidR="00312C0E" w:rsidRPr="00FA0B5E" w:rsidRDefault="00312C0E" w:rsidP="00312C0E">
            <w:pPr>
              <w:pStyle w:val="Names"/>
            </w:pPr>
          </w:p>
        </w:tc>
        <w:tc>
          <w:tcPr>
            <w:tcW w:w="1998" w:type="dxa"/>
            <w:vAlign w:val="bottom"/>
          </w:tcPr>
          <w:p w14:paraId="5E4EA90C" w14:textId="0AB2AC3E" w:rsidR="00312C0E" w:rsidRPr="00312C0E" w:rsidRDefault="00312C0E" w:rsidP="00312C0E">
            <w:pPr>
              <w:pStyle w:val="Names"/>
              <w:rPr>
                <w:rFonts w:cs="Arial"/>
              </w:rPr>
            </w:pPr>
            <w:r w:rsidRPr="00312C0E">
              <w:rPr>
                <w:rFonts w:cs="Arial"/>
                <w:color w:val="000000"/>
              </w:rPr>
              <w:t>Meredith</w:t>
            </w:r>
          </w:p>
        </w:tc>
        <w:tc>
          <w:tcPr>
            <w:tcW w:w="1980" w:type="dxa"/>
            <w:vAlign w:val="bottom"/>
          </w:tcPr>
          <w:p w14:paraId="0AB82474" w14:textId="038670A3" w:rsidR="00312C0E" w:rsidRPr="00312C0E" w:rsidRDefault="00312C0E" w:rsidP="00312C0E">
            <w:pPr>
              <w:pStyle w:val="Names"/>
              <w:rPr>
                <w:rFonts w:cs="Arial"/>
              </w:rPr>
            </w:pPr>
            <w:proofErr w:type="spellStart"/>
            <w:r w:rsidRPr="00312C0E">
              <w:rPr>
                <w:rFonts w:cs="Arial"/>
                <w:color w:val="000000"/>
              </w:rPr>
              <w:t>LaBeau</w:t>
            </w:r>
            <w:proofErr w:type="spellEnd"/>
            <w:r w:rsidRPr="00312C0E">
              <w:rPr>
                <w:rFonts w:cs="Arial"/>
                <w:color w:val="000000"/>
              </w:rPr>
              <w:t>, PhD</w:t>
            </w:r>
          </w:p>
        </w:tc>
        <w:tc>
          <w:tcPr>
            <w:tcW w:w="3870" w:type="dxa"/>
            <w:vAlign w:val="bottom"/>
          </w:tcPr>
          <w:p w14:paraId="555B299E" w14:textId="579BD3D6" w:rsidR="00312C0E" w:rsidRPr="00312C0E" w:rsidRDefault="00312C0E" w:rsidP="00312C0E">
            <w:pPr>
              <w:pStyle w:val="Names"/>
              <w:rPr>
                <w:rFonts w:cs="Arial"/>
              </w:rPr>
            </w:pPr>
            <w:r w:rsidRPr="00312C0E">
              <w:rPr>
                <w:rFonts w:cs="Arial"/>
                <w:color w:val="000000"/>
              </w:rPr>
              <w:t>Calumet Electronics Corporation</w:t>
            </w:r>
          </w:p>
        </w:tc>
        <w:tc>
          <w:tcPr>
            <w:tcW w:w="2160" w:type="dxa"/>
          </w:tcPr>
          <w:p w14:paraId="25586412" w14:textId="77777777" w:rsidR="00312C0E" w:rsidRPr="00312C0E" w:rsidRDefault="00312C0E" w:rsidP="00312C0E">
            <w:pPr>
              <w:pStyle w:val="Names"/>
              <w:rPr>
                <w:rFonts w:cs="Arial"/>
              </w:rPr>
            </w:pPr>
          </w:p>
        </w:tc>
      </w:tr>
      <w:tr w:rsidR="00B940A5" w:rsidRPr="00FA0B5E" w14:paraId="5D4C77B4" w14:textId="77777777" w:rsidTr="00720C85">
        <w:tc>
          <w:tcPr>
            <w:tcW w:w="295" w:type="dxa"/>
          </w:tcPr>
          <w:p w14:paraId="2FF8B682" w14:textId="77777777" w:rsidR="00B940A5" w:rsidRPr="00FA0B5E" w:rsidRDefault="00B940A5" w:rsidP="00B940A5">
            <w:pPr>
              <w:pStyle w:val="Names"/>
            </w:pPr>
          </w:p>
        </w:tc>
        <w:tc>
          <w:tcPr>
            <w:tcW w:w="1998" w:type="dxa"/>
            <w:vAlign w:val="center"/>
          </w:tcPr>
          <w:p w14:paraId="737E6247" w14:textId="17499491" w:rsidR="00B940A5" w:rsidRPr="00312C0E" w:rsidRDefault="00B940A5" w:rsidP="00B940A5">
            <w:pPr>
              <w:pStyle w:val="Names"/>
              <w:rPr>
                <w:rFonts w:cs="Arial"/>
                <w:color w:val="000000"/>
              </w:rPr>
            </w:pPr>
            <w:r>
              <w:rPr>
                <w:rFonts w:cs="Arial"/>
                <w:szCs w:val="20"/>
              </w:rPr>
              <w:t>Eric</w:t>
            </w:r>
          </w:p>
        </w:tc>
        <w:tc>
          <w:tcPr>
            <w:tcW w:w="1980" w:type="dxa"/>
            <w:vAlign w:val="center"/>
          </w:tcPr>
          <w:p w14:paraId="528D41D1" w14:textId="7CD53CB7" w:rsidR="00B940A5" w:rsidRPr="00312C0E" w:rsidRDefault="00B940A5" w:rsidP="00B940A5">
            <w:pPr>
              <w:pStyle w:val="Names"/>
              <w:rPr>
                <w:rFonts w:cs="Arial"/>
                <w:color w:val="000000"/>
              </w:rPr>
            </w:pPr>
            <w:proofErr w:type="spellStart"/>
            <w:r>
              <w:rPr>
                <w:rFonts w:cs="Arial"/>
                <w:szCs w:val="20"/>
              </w:rPr>
              <w:t>Lacourt</w:t>
            </w:r>
            <w:proofErr w:type="spellEnd"/>
          </w:p>
        </w:tc>
        <w:tc>
          <w:tcPr>
            <w:tcW w:w="3870" w:type="dxa"/>
            <w:vAlign w:val="center"/>
          </w:tcPr>
          <w:p w14:paraId="1022CADE" w14:textId="5069514D" w:rsidR="00B940A5" w:rsidRPr="00312C0E" w:rsidRDefault="00B940A5" w:rsidP="00B940A5">
            <w:pPr>
              <w:pStyle w:val="Names"/>
              <w:rPr>
                <w:rFonts w:cs="Arial"/>
                <w:color w:val="000000"/>
              </w:rPr>
            </w:pPr>
            <w:r>
              <w:rPr>
                <w:rFonts w:cs="Arial"/>
                <w:color w:val="000000"/>
                <w:szCs w:val="20"/>
              </w:rPr>
              <w:t>ERLAC</w:t>
            </w:r>
          </w:p>
        </w:tc>
        <w:tc>
          <w:tcPr>
            <w:tcW w:w="2160" w:type="dxa"/>
          </w:tcPr>
          <w:p w14:paraId="21CD5542" w14:textId="77777777" w:rsidR="00B940A5" w:rsidRPr="00312C0E" w:rsidRDefault="00B940A5" w:rsidP="00B940A5">
            <w:pPr>
              <w:pStyle w:val="Names"/>
              <w:rPr>
                <w:rFonts w:cs="Arial"/>
              </w:rPr>
            </w:pPr>
          </w:p>
        </w:tc>
      </w:tr>
      <w:tr w:rsidR="00B940A5" w:rsidRPr="00FA0B5E" w14:paraId="7C6CEE00" w14:textId="77777777" w:rsidTr="00720C85">
        <w:tc>
          <w:tcPr>
            <w:tcW w:w="295" w:type="dxa"/>
          </w:tcPr>
          <w:p w14:paraId="1FA069FA" w14:textId="77777777" w:rsidR="00B940A5" w:rsidRPr="00FA0B5E" w:rsidRDefault="00B940A5" w:rsidP="00B940A5">
            <w:pPr>
              <w:pStyle w:val="Names"/>
            </w:pPr>
          </w:p>
        </w:tc>
        <w:tc>
          <w:tcPr>
            <w:tcW w:w="1998" w:type="dxa"/>
            <w:vAlign w:val="center"/>
          </w:tcPr>
          <w:p w14:paraId="680E6373" w14:textId="1B87219B" w:rsidR="00B940A5" w:rsidRPr="00312C0E" w:rsidRDefault="00B940A5" w:rsidP="00B940A5">
            <w:pPr>
              <w:pStyle w:val="Names"/>
              <w:rPr>
                <w:rFonts w:cs="Arial"/>
                <w:color w:val="000000"/>
              </w:rPr>
            </w:pPr>
            <w:r>
              <w:rPr>
                <w:rFonts w:cs="Arial"/>
                <w:szCs w:val="20"/>
              </w:rPr>
              <w:t>Mike</w:t>
            </w:r>
          </w:p>
        </w:tc>
        <w:tc>
          <w:tcPr>
            <w:tcW w:w="1980" w:type="dxa"/>
            <w:vAlign w:val="center"/>
          </w:tcPr>
          <w:p w14:paraId="0B0A257F" w14:textId="2A210B28" w:rsidR="00B940A5" w:rsidRPr="00312C0E" w:rsidRDefault="00B940A5" w:rsidP="00B940A5">
            <w:pPr>
              <w:pStyle w:val="Names"/>
              <w:rPr>
                <w:rFonts w:cs="Arial"/>
                <w:color w:val="000000"/>
              </w:rPr>
            </w:pPr>
            <w:proofErr w:type="spellStart"/>
            <w:r>
              <w:rPr>
                <w:rFonts w:cs="Arial"/>
                <w:szCs w:val="20"/>
              </w:rPr>
              <w:t>Liccketto</w:t>
            </w:r>
            <w:proofErr w:type="spellEnd"/>
          </w:p>
        </w:tc>
        <w:tc>
          <w:tcPr>
            <w:tcW w:w="3870" w:type="dxa"/>
            <w:vAlign w:val="center"/>
          </w:tcPr>
          <w:p w14:paraId="1F4D3023" w14:textId="7360D59B" w:rsidR="00B940A5" w:rsidRPr="00312C0E" w:rsidRDefault="00B940A5" w:rsidP="00B940A5">
            <w:pPr>
              <w:pStyle w:val="Names"/>
              <w:rPr>
                <w:rFonts w:cs="Arial"/>
                <w:color w:val="000000"/>
              </w:rPr>
            </w:pPr>
            <w:r>
              <w:rPr>
                <w:rFonts w:cs="Arial"/>
                <w:color w:val="000000"/>
                <w:szCs w:val="20"/>
              </w:rPr>
              <w:t>CDM Electronics Inc.</w:t>
            </w:r>
          </w:p>
        </w:tc>
        <w:tc>
          <w:tcPr>
            <w:tcW w:w="2160" w:type="dxa"/>
          </w:tcPr>
          <w:p w14:paraId="6F3C6EA0" w14:textId="77777777" w:rsidR="00B940A5" w:rsidRPr="00312C0E" w:rsidRDefault="00B940A5" w:rsidP="00B940A5">
            <w:pPr>
              <w:pStyle w:val="Names"/>
              <w:rPr>
                <w:rFonts w:cs="Arial"/>
              </w:rPr>
            </w:pPr>
          </w:p>
        </w:tc>
      </w:tr>
      <w:tr w:rsidR="00B940A5" w:rsidRPr="00FA0B5E" w14:paraId="5EA75EBE" w14:textId="77777777" w:rsidTr="00A168AC">
        <w:tc>
          <w:tcPr>
            <w:tcW w:w="295" w:type="dxa"/>
          </w:tcPr>
          <w:p w14:paraId="2872252F" w14:textId="77777777" w:rsidR="00B940A5" w:rsidRPr="00FA0B5E" w:rsidRDefault="00B940A5" w:rsidP="00B940A5">
            <w:pPr>
              <w:pStyle w:val="Names"/>
            </w:pPr>
          </w:p>
        </w:tc>
        <w:tc>
          <w:tcPr>
            <w:tcW w:w="1998" w:type="dxa"/>
            <w:vAlign w:val="center"/>
          </w:tcPr>
          <w:p w14:paraId="3E093F5C" w14:textId="5448F571" w:rsidR="00B940A5" w:rsidRDefault="00B940A5" w:rsidP="00B940A5">
            <w:pPr>
              <w:pStyle w:val="Names"/>
              <w:rPr>
                <w:rFonts w:cs="Arial"/>
                <w:szCs w:val="20"/>
              </w:rPr>
            </w:pPr>
            <w:r>
              <w:rPr>
                <w:rFonts w:cs="Arial"/>
                <w:szCs w:val="20"/>
              </w:rPr>
              <w:t>William</w:t>
            </w:r>
          </w:p>
        </w:tc>
        <w:tc>
          <w:tcPr>
            <w:tcW w:w="1980" w:type="dxa"/>
            <w:vAlign w:val="center"/>
          </w:tcPr>
          <w:p w14:paraId="03D08A9C" w14:textId="0DFCDA4D" w:rsidR="00B940A5" w:rsidRDefault="00B940A5" w:rsidP="00B940A5">
            <w:pPr>
              <w:pStyle w:val="Names"/>
              <w:rPr>
                <w:rFonts w:cs="Arial"/>
                <w:szCs w:val="20"/>
              </w:rPr>
            </w:pPr>
            <w:proofErr w:type="spellStart"/>
            <w:r>
              <w:rPr>
                <w:rFonts w:cs="Arial"/>
                <w:szCs w:val="20"/>
              </w:rPr>
              <w:t>Michels</w:t>
            </w:r>
            <w:proofErr w:type="spellEnd"/>
          </w:p>
        </w:tc>
        <w:tc>
          <w:tcPr>
            <w:tcW w:w="3870" w:type="dxa"/>
            <w:vAlign w:val="center"/>
          </w:tcPr>
          <w:p w14:paraId="72624282" w14:textId="5E746F65" w:rsidR="00B940A5" w:rsidRDefault="00B940A5" w:rsidP="00720C85">
            <w:pPr>
              <w:rPr>
                <w:rFonts w:cs="Arial"/>
                <w:color w:val="000000"/>
                <w:szCs w:val="20"/>
              </w:rPr>
            </w:pPr>
            <w:r>
              <w:rPr>
                <w:rFonts w:cs="Arial"/>
                <w:color w:val="000000"/>
                <w:szCs w:val="20"/>
              </w:rPr>
              <w:t>Quality Circuits Inc.</w:t>
            </w:r>
          </w:p>
        </w:tc>
        <w:tc>
          <w:tcPr>
            <w:tcW w:w="2160" w:type="dxa"/>
          </w:tcPr>
          <w:p w14:paraId="3E9E6C23" w14:textId="77777777" w:rsidR="00B940A5" w:rsidRPr="00312C0E" w:rsidRDefault="00B940A5" w:rsidP="00B940A5">
            <w:pPr>
              <w:pStyle w:val="Names"/>
              <w:rPr>
                <w:rFonts w:cs="Arial"/>
              </w:rPr>
            </w:pPr>
          </w:p>
        </w:tc>
      </w:tr>
      <w:tr w:rsidR="00312C0E" w:rsidRPr="00FA0B5E" w14:paraId="072895AF" w14:textId="77777777" w:rsidTr="00312C0E">
        <w:tc>
          <w:tcPr>
            <w:tcW w:w="295" w:type="dxa"/>
          </w:tcPr>
          <w:p w14:paraId="1DBE57E6" w14:textId="6627169D" w:rsidR="00312C0E" w:rsidRPr="00FA0B5E" w:rsidRDefault="00174063" w:rsidP="00312C0E">
            <w:pPr>
              <w:pStyle w:val="Names"/>
            </w:pPr>
            <w:r>
              <w:t>*</w:t>
            </w:r>
          </w:p>
        </w:tc>
        <w:tc>
          <w:tcPr>
            <w:tcW w:w="1998" w:type="dxa"/>
            <w:vAlign w:val="bottom"/>
          </w:tcPr>
          <w:p w14:paraId="2A3ED7CA" w14:textId="74843BB2" w:rsidR="00312C0E" w:rsidRPr="00312C0E" w:rsidRDefault="00312C0E" w:rsidP="00312C0E">
            <w:pPr>
              <w:pStyle w:val="Names"/>
              <w:rPr>
                <w:rFonts w:cs="Arial"/>
              </w:rPr>
            </w:pPr>
            <w:r w:rsidRPr="00312C0E">
              <w:rPr>
                <w:rFonts w:cs="Arial"/>
                <w:color w:val="000000"/>
              </w:rPr>
              <w:t>Jeremy</w:t>
            </w:r>
          </w:p>
        </w:tc>
        <w:tc>
          <w:tcPr>
            <w:tcW w:w="1980" w:type="dxa"/>
            <w:vAlign w:val="bottom"/>
          </w:tcPr>
          <w:p w14:paraId="47E933ED" w14:textId="0FF31EF1" w:rsidR="00312C0E" w:rsidRPr="00312C0E" w:rsidRDefault="00312C0E" w:rsidP="00312C0E">
            <w:pPr>
              <w:pStyle w:val="Names"/>
              <w:rPr>
                <w:rFonts w:cs="Arial"/>
              </w:rPr>
            </w:pPr>
            <w:r w:rsidRPr="00312C0E">
              <w:rPr>
                <w:rFonts w:cs="Arial"/>
                <w:color w:val="000000"/>
              </w:rPr>
              <w:t>Needs</w:t>
            </w:r>
          </w:p>
        </w:tc>
        <w:tc>
          <w:tcPr>
            <w:tcW w:w="3870" w:type="dxa"/>
            <w:vAlign w:val="bottom"/>
          </w:tcPr>
          <w:p w14:paraId="5879F93E" w14:textId="7CF6C004" w:rsidR="00312C0E" w:rsidRPr="00312C0E" w:rsidRDefault="00312C0E" w:rsidP="00312C0E">
            <w:pPr>
              <w:pStyle w:val="Names"/>
              <w:rPr>
                <w:rFonts w:cs="Arial"/>
              </w:rPr>
            </w:pPr>
            <w:proofErr w:type="spellStart"/>
            <w:r w:rsidRPr="00312C0E">
              <w:rPr>
                <w:rFonts w:cs="Arial"/>
                <w:color w:val="000000"/>
              </w:rPr>
              <w:t>Ultra Electronics</w:t>
            </w:r>
            <w:proofErr w:type="spellEnd"/>
          </w:p>
        </w:tc>
        <w:tc>
          <w:tcPr>
            <w:tcW w:w="2160" w:type="dxa"/>
          </w:tcPr>
          <w:p w14:paraId="5A5B99D0" w14:textId="77777777" w:rsidR="00312C0E" w:rsidRPr="00312C0E" w:rsidRDefault="00312C0E" w:rsidP="00312C0E">
            <w:pPr>
              <w:pStyle w:val="Names"/>
              <w:rPr>
                <w:rFonts w:cs="Arial"/>
              </w:rPr>
            </w:pPr>
          </w:p>
        </w:tc>
      </w:tr>
      <w:tr w:rsidR="00312C0E" w:rsidRPr="00FA0B5E" w14:paraId="511013CA" w14:textId="77777777" w:rsidTr="00312C0E">
        <w:tc>
          <w:tcPr>
            <w:tcW w:w="295" w:type="dxa"/>
          </w:tcPr>
          <w:p w14:paraId="35376BE3" w14:textId="07F8B8A7" w:rsidR="00312C0E" w:rsidRPr="00FA0B5E" w:rsidRDefault="00174063" w:rsidP="00312C0E">
            <w:pPr>
              <w:pStyle w:val="Names"/>
            </w:pPr>
            <w:r>
              <w:t>*</w:t>
            </w:r>
          </w:p>
        </w:tc>
        <w:tc>
          <w:tcPr>
            <w:tcW w:w="1998" w:type="dxa"/>
            <w:vAlign w:val="bottom"/>
          </w:tcPr>
          <w:p w14:paraId="2A32A3D4" w14:textId="25EC4EB7" w:rsidR="00312C0E" w:rsidRPr="00312C0E" w:rsidRDefault="00312C0E" w:rsidP="00312C0E">
            <w:pPr>
              <w:pStyle w:val="Names"/>
              <w:rPr>
                <w:rFonts w:cs="Arial"/>
              </w:rPr>
            </w:pPr>
            <w:r w:rsidRPr="00312C0E">
              <w:rPr>
                <w:rFonts w:cs="Arial"/>
                <w:color w:val="000000"/>
              </w:rPr>
              <w:t>Douglas</w:t>
            </w:r>
          </w:p>
        </w:tc>
        <w:tc>
          <w:tcPr>
            <w:tcW w:w="1980" w:type="dxa"/>
            <w:vAlign w:val="bottom"/>
          </w:tcPr>
          <w:p w14:paraId="73C3D6FA" w14:textId="75948264" w:rsidR="00312C0E" w:rsidRPr="00312C0E" w:rsidRDefault="00312C0E" w:rsidP="00312C0E">
            <w:pPr>
              <w:pStyle w:val="Names"/>
              <w:rPr>
                <w:rFonts w:cs="Arial"/>
              </w:rPr>
            </w:pPr>
            <w:proofErr w:type="spellStart"/>
            <w:r w:rsidRPr="00312C0E">
              <w:rPr>
                <w:rFonts w:cs="Arial"/>
                <w:color w:val="000000"/>
              </w:rPr>
              <w:t>Schueller</w:t>
            </w:r>
            <w:proofErr w:type="spellEnd"/>
          </w:p>
        </w:tc>
        <w:tc>
          <w:tcPr>
            <w:tcW w:w="3870" w:type="dxa"/>
            <w:vAlign w:val="bottom"/>
          </w:tcPr>
          <w:p w14:paraId="3B1B224B" w14:textId="5D5B3435" w:rsidR="00312C0E" w:rsidRPr="00312C0E" w:rsidRDefault="00312C0E" w:rsidP="00312C0E">
            <w:pPr>
              <w:pStyle w:val="Names"/>
              <w:rPr>
                <w:rFonts w:cs="Arial"/>
              </w:rPr>
            </w:pPr>
            <w:proofErr w:type="spellStart"/>
            <w:r w:rsidRPr="00312C0E">
              <w:rPr>
                <w:rFonts w:cs="Arial"/>
                <w:color w:val="000000"/>
              </w:rPr>
              <w:t>AbelConn</w:t>
            </w:r>
            <w:proofErr w:type="spellEnd"/>
            <w:r w:rsidRPr="00312C0E">
              <w:rPr>
                <w:rFonts w:cs="Arial"/>
                <w:color w:val="000000"/>
              </w:rPr>
              <w:t xml:space="preserve"> LLC</w:t>
            </w:r>
          </w:p>
        </w:tc>
        <w:tc>
          <w:tcPr>
            <w:tcW w:w="2160" w:type="dxa"/>
          </w:tcPr>
          <w:p w14:paraId="1AFF5943" w14:textId="77777777" w:rsidR="00312C0E" w:rsidRPr="00312C0E" w:rsidRDefault="00312C0E" w:rsidP="00312C0E">
            <w:pPr>
              <w:pStyle w:val="Names"/>
              <w:rPr>
                <w:rFonts w:cs="Arial"/>
              </w:rPr>
            </w:pPr>
          </w:p>
        </w:tc>
      </w:tr>
      <w:tr w:rsidR="00312C0E" w:rsidRPr="00FA0B5E" w14:paraId="68E1EE7E" w14:textId="77777777" w:rsidTr="00312C0E">
        <w:tc>
          <w:tcPr>
            <w:tcW w:w="295" w:type="dxa"/>
          </w:tcPr>
          <w:p w14:paraId="3EEFD0E3" w14:textId="77777777" w:rsidR="00312C0E" w:rsidRPr="00FA0B5E" w:rsidRDefault="00312C0E" w:rsidP="00312C0E">
            <w:pPr>
              <w:pStyle w:val="Names"/>
            </w:pPr>
          </w:p>
        </w:tc>
        <w:tc>
          <w:tcPr>
            <w:tcW w:w="1998" w:type="dxa"/>
            <w:vAlign w:val="bottom"/>
          </w:tcPr>
          <w:p w14:paraId="112D61F2" w14:textId="0EEEB517" w:rsidR="00312C0E" w:rsidRPr="00312C0E" w:rsidRDefault="00312C0E" w:rsidP="00312C0E">
            <w:pPr>
              <w:pStyle w:val="Names"/>
              <w:rPr>
                <w:rFonts w:cs="Arial"/>
              </w:rPr>
            </w:pPr>
            <w:r w:rsidRPr="00312C0E">
              <w:rPr>
                <w:rFonts w:cs="Arial"/>
                <w:color w:val="000000"/>
              </w:rPr>
              <w:t>Donald</w:t>
            </w:r>
          </w:p>
        </w:tc>
        <w:tc>
          <w:tcPr>
            <w:tcW w:w="1980" w:type="dxa"/>
            <w:vAlign w:val="bottom"/>
          </w:tcPr>
          <w:p w14:paraId="15132D59" w14:textId="76A5F30B" w:rsidR="00312C0E" w:rsidRPr="00312C0E" w:rsidRDefault="00312C0E" w:rsidP="00312C0E">
            <w:pPr>
              <w:pStyle w:val="Names"/>
              <w:rPr>
                <w:rFonts w:cs="Arial"/>
              </w:rPr>
            </w:pPr>
            <w:r w:rsidRPr="00312C0E">
              <w:rPr>
                <w:rFonts w:cs="Arial"/>
                <w:color w:val="000000"/>
              </w:rPr>
              <w:t>Tyler</w:t>
            </w:r>
          </w:p>
        </w:tc>
        <w:tc>
          <w:tcPr>
            <w:tcW w:w="3870" w:type="dxa"/>
            <w:vAlign w:val="bottom"/>
          </w:tcPr>
          <w:p w14:paraId="1BBF7E29" w14:textId="5769D5F8" w:rsidR="00312C0E" w:rsidRPr="00312C0E" w:rsidRDefault="00312C0E" w:rsidP="00312C0E">
            <w:pPr>
              <w:pStyle w:val="Names"/>
              <w:rPr>
                <w:rFonts w:cs="Arial"/>
              </w:rPr>
            </w:pPr>
            <w:proofErr w:type="spellStart"/>
            <w:r w:rsidRPr="00312C0E">
              <w:rPr>
                <w:rFonts w:cs="Arial"/>
                <w:color w:val="000000"/>
              </w:rPr>
              <w:t>Corfin</w:t>
            </w:r>
            <w:proofErr w:type="spellEnd"/>
            <w:r w:rsidRPr="00312C0E">
              <w:rPr>
                <w:rFonts w:cs="Arial"/>
                <w:color w:val="000000"/>
              </w:rPr>
              <w:t xml:space="preserve"> Industries LLC</w:t>
            </w:r>
          </w:p>
        </w:tc>
        <w:tc>
          <w:tcPr>
            <w:tcW w:w="2160" w:type="dxa"/>
          </w:tcPr>
          <w:p w14:paraId="1C57A1AB" w14:textId="77777777" w:rsidR="00312C0E" w:rsidRPr="00312C0E" w:rsidRDefault="00312C0E" w:rsidP="00312C0E">
            <w:pPr>
              <w:pStyle w:val="Names"/>
              <w:rPr>
                <w:rFonts w:cs="Arial"/>
              </w:rPr>
            </w:pPr>
          </w:p>
        </w:tc>
      </w:tr>
      <w:tr w:rsidR="00312C0E" w:rsidRPr="00FA0B5E" w14:paraId="67D6F5B4" w14:textId="77777777" w:rsidTr="00312C0E">
        <w:tc>
          <w:tcPr>
            <w:tcW w:w="295" w:type="dxa"/>
          </w:tcPr>
          <w:p w14:paraId="043134D2" w14:textId="59D6F73C" w:rsidR="00312C0E" w:rsidRPr="00FA0B5E" w:rsidRDefault="00174063" w:rsidP="00312C0E">
            <w:pPr>
              <w:pStyle w:val="Names"/>
            </w:pPr>
            <w:r>
              <w:t>*</w:t>
            </w:r>
          </w:p>
        </w:tc>
        <w:tc>
          <w:tcPr>
            <w:tcW w:w="1998" w:type="dxa"/>
            <w:vAlign w:val="bottom"/>
          </w:tcPr>
          <w:p w14:paraId="6EC40546" w14:textId="1242775E" w:rsidR="00312C0E" w:rsidRPr="00312C0E" w:rsidRDefault="00312C0E" w:rsidP="00312C0E">
            <w:pPr>
              <w:pStyle w:val="Names"/>
              <w:rPr>
                <w:rFonts w:cs="Arial"/>
              </w:rPr>
            </w:pPr>
            <w:r w:rsidRPr="00312C0E">
              <w:rPr>
                <w:rFonts w:cs="Arial"/>
                <w:color w:val="000000"/>
              </w:rPr>
              <w:t>Jennifer</w:t>
            </w:r>
          </w:p>
        </w:tc>
        <w:tc>
          <w:tcPr>
            <w:tcW w:w="1980" w:type="dxa"/>
            <w:vAlign w:val="bottom"/>
          </w:tcPr>
          <w:p w14:paraId="710B35FA" w14:textId="1AEA16AF" w:rsidR="00312C0E" w:rsidRPr="00312C0E" w:rsidRDefault="00312C0E" w:rsidP="00312C0E">
            <w:pPr>
              <w:pStyle w:val="Names"/>
              <w:rPr>
                <w:rFonts w:cs="Arial"/>
              </w:rPr>
            </w:pPr>
            <w:r w:rsidRPr="00312C0E">
              <w:rPr>
                <w:rFonts w:cs="Arial"/>
                <w:color w:val="000000"/>
              </w:rPr>
              <w:t>Wagner</w:t>
            </w:r>
          </w:p>
        </w:tc>
        <w:tc>
          <w:tcPr>
            <w:tcW w:w="3870" w:type="dxa"/>
            <w:vAlign w:val="bottom"/>
          </w:tcPr>
          <w:p w14:paraId="5622B938" w14:textId="217500A2" w:rsidR="00312C0E" w:rsidRPr="00312C0E" w:rsidRDefault="00312C0E" w:rsidP="00312C0E">
            <w:pPr>
              <w:pStyle w:val="Names"/>
              <w:rPr>
                <w:rFonts w:cs="Arial"/>
              </w:rPr>
            </w:pPr>
            <w:r w:rsidRPr="00312C0E">
              <w:rPr>
                <w:rFonts w:cs="Arial"/>
                <w:color w:val="000000"/>
              </w:rPr>
              <w:t>Ducommun</w:t>
            </w:r>
          </w:p>
        </w:tc>
        <w:tc>
          <w:tcPr>
            <w:tcW w:w="2160" w:type="dxa"/>
          </w:tcPr>
          <w:p w14:paraId="0D288DDC" w14:textId="77777777" w:rsidR="00312C0E" w:rsidRPr="00312C0E" w:rsidRDefault="00312C0E" w:rsidP="00312C0E">
            <w:pPr>
              <w:pStyle w:val="Names"/>
              <w:rPr>
                <w:rFonts w:cs="Arial"/>
              </w:rPr>
            </w:pPr>
          </w:p>
        </w:tc>
      </w:tr>
    </w:tbl>
    <w:p w14:paraId="267D89C4" w14:textId="77777777" w:rsidR="00FA0B5E" w:rsidRPr="00272E48" w:rsidRDefault="00FA0B5E" w:rsidP="00FC3F1E">
      <w:pPr>
        <w:pStyle w:val="Body"/>
        <w:keepNext/>
        <w:spacing w:before="200"/>
        <w:rPr>
          <w:b/>
          <w:i/>
          <w:u w:val="single"/>
        </w:rPr>
      </w:pPr>
      <w:r w:rsidRPr="00272E4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B940A5" w:rsidRPr="00FA0B5E" w14:paraId="5FB03943" w14:textId="77777777" w:rsidTr="00E51455">
        <w:tc>
          <w:tcPr>
            <w:tcW w:w="2005" w:type="dxa"/>
          </w:tcPr>
          <w:p w14:paraId="014C9889" w14:textId="77777777" w:rsidR="00B940A5" w:rsidRPr="00FA0B5E" w:rsidRDefault="00B940A5" w:rsidP="00EB178A">
            <w:pPr>
              <w:pStyle w:val="Names"/>
            </w:pPr>
            <w:r>
              <w:t>Susan</w:t>
            </w:r>
          </w:p>
        </w:tc>
        <w:tc>
          <w:tcPr>
            <w:tcW w:w="1980" w:type="dxa"/>
          </w:tcPr>
          <w:p w14:paraId="72847CAF" w14:textId="77777777" w:rsidR="00B940A5" w:rsidRPr="00FA0B5E" w:rsidRDefault="00B940A5" w:rsidP="00EB178A">
            <w:pPr>
              <w:pStyle w:val="Names"/>
            </w:pPr>
            <w:r>
              <w:t>Frailey</w:t>
            </w:r>
          </w:p>
        </w:tc>
      </w:tr>
      <w:tr w:rsidR="00B940A5" w:rsidRPr="00FA0B5E" w14:paraId="71BA71C9" w14:textId="77777777" w:rsidTr="00E51455">
        <w:tc>
          <w:tcPr>
            <w:tcW w:w="2005" w:type="dxa"/>
          </w:tcPr>
          <w:p w14:paraId="0691B61B" w14:textId="77777777" w:rsidR="00B940A5" w:rsidRPr="00FA0B5E" w:rsidRDefault="00B940A5" w:rsidP="00EB178A">
            <w:pPr>
              <w:pStyle w:val="Names"/>
            </w:pPr>
            <w:r>
              <w:t>Julia</w:t>
            </w:r>
          </w:p>
        </w:tc>
        <w:tc>
          <w:tcPr>
            <w:tcW w:w="1980" w:type="dxa"/>
          </w:tcPr>
          <w:p w14:paraId="1F03D977" w14:textId="77777777" w:rsidR="00B940A5" w:rsidRPr="00FA0B5E" w:rsidRDefault="00B940A5" w:rsidP="00EB178A">
            <w:pPr>
              <w:pStyle w:val="Names"/>
            </w:pPr>
            <w:r>
              <w:t>Markardt</w:t>
            </w:r>
          </w:p>
        </w:tc>
      </w:tr>
      <w:tr w:rsidR="00B940A5" w:rsidRPr="00FA0B5E" w14:paraId="7B624CE6" w14:textId="77777777" w:rsidTr="00720C85">
        <w:tc>
          <w:tcPr>
            <w:tcW w:w="2005" w:type="dxa"/>
            <w:vAlign w:val="center"/>
          </w:tcPr>
          <w:p w14:paraId="541F2E38" w14:textId="2ACC4A12" w:rsidR="00B940A5" w:rsidRDefault="00B940A5" w:rsidP="00B940A5">
            <w:pPr>
              <w:pStyle w:val="Names"/>
            </w:pPr>
            <w:r>
              <w:rPr>
                <w:rFonts w:cs="Arial"/>
                <w:szCs w:val="20"/>
              </w:rPr>
              <w:t>Shaun</w:t>
            </w:r>
          </w:p>
        </w:tc>
        <w:tc>
          <w:tcPr>
            <w:tcW w:w="1980" w:type="dxa"/>
            <w:vAlign w:val="center"/>
          </w:tcPr>
          <w:p w14:paraId="4B3CED24" w14:textId="7A427079" w:rsidR="00B940A5" w:rsidRDefault="00B940A5" w:rsidP="00B940A5">
            <w:pPr>
              <w:pStyle w:val="Names"/>
            </w:pPr>
            <w:proofErr w:type="spellStart"/>
            <w:r>
              <w:rPr>
                <w:rFonts w:cs="Arial"/>
                <w:szCs w:val="20"/>
              </w:rPr>
              <w:t>Mbateng</w:t>
            </w:r>
            <w:proofErr w:type="spellEnd"/>
          </w:p>
        </w:tc>
      </w:tr>
    </w:tbl>
    <w:p w14:paraId="267D89CE" w14:textId="77777777" w:rsidR="003B5FCD" w:rsidRDefault="003B5FCD" w:rsidP="003B5FCD">
      <w:pPr>
        <w:pStyle w:val="Body"/>
      </w:pPr>
    </w:p>
    <w:p w14:paraId="267D89CF" w14:textId="24A06553" w:rsidR="00FA0B5E" w:rsidRDefault="00C86C95" w:rsidP="00866C8D">
      <w:pPr>
        <w:pStyle w:val="Heading2"/>
      </w:pPr>
      <w:r>
        <w:lastRenderedPageBreak/>
        <w:t>Review Safety Information</w:t>
      </w:r>
    </w:p>
    <w:p w14:paraId="385BEACF" w14:textId="56DC27EE" w:rsidR="00F855D8" w:rsidRPr="00F855D8" w:rsidRDefault="00F855D8" w:rsidP="00F855D8">
      <w:pPr>
        <w:pStyle w:val="Body"/>
      </w:pPr>
      <w:r w:rsidRPr="00F855D8">
        <w:t>Fire exits and other safety information presented.</w:t>
      </w:r>
    </w:p>
    <w:p w14:paraId="267D89D1" w14:textId="56F4AABA" w:rsidR="007F7E08" w:rsidRDefault="00C86C95" w:rsidP="00F76453">
      <w:pPr>
        <w:pStyle w:val="Heading2"/>
      </w:pPr>
      <w:r>
        <w:t>Review Code of Ethics and Meeting Conduct</w:t>
      </w:r>
    </w:p>
    <w:p w14:paraId="0346968A" w14:textId="76E0CC35" w:rsidR="00F855D8" w:rsidRPr="00F855D8" w:rsidRDefault="00F855D8" w:rsidP="00F855D8">
      <w:pPr>
        <w:pStyle w:val="Body"/>
      </w:pPr>
      <w:r w:rsidRPr="00F855D8">
        <w:t>Meeting conduct and ethics reviewed.</w:t>
      </w:r>
    </w:p>
    <w:p w14:paraId="269EAB75" w14:textId="29071327" w:rsidR="00C86C95" w:rsidRDefault="00C86C95" w:rsidP="00C86C95">
      <w:pPr>
        <w:pStyle w:val="Heading2"/>
      </w:pPr>
      <w:r>
        <w:t>Present Antitrust Video</w:t>
      </w:r>
    </w:p>
    <w:p w14:paraId="0F76896D" w14:textId="382681A9" w:rsidR="00F855D8" w:rsidRPr="00F855D8" w:rsidRDefault="00F855D8" w:rsidP="00F855D8">
      <w:pPr>
        <w:pStyle w:val="Body"/>
      </w:pPr>
      <w:r w:rsidRPr="00F855D8">
        <w:t>Video watched by all attendees.</w:t>
      </w:r>
    </w:p>
    <w:p w14:paraId="267D89D4" w14:textId="1839A53F" w:rsidR="00FA0B5E" w:rsidRDefault="00C86C95" w:rsidP="00FA0B5E">
      <w:pPr>
        <w:pStyle w:val="Heading1"/>
      </w:pPr>
      <w:r>
        <w:t>review delegation status– CLOSED</w:t>
      </w:r>
    </w:p>
    <w:p w14:paraId="267D89D6" w14:textId="7A670E6C" w:rsidR="00FA0B5E" w:rsidRDefault="00F855D8" w:rsidP="00F855D8">
      <w:pPr>
        <w:pStyle w:val="Body"/>
      </w:pPr>
      <w:r w:rsidRPr="00F855D8">
        <w:t xml:space="preserve">Delegation metrics were reviewed for Susan Frailey and Julia Markardt.  The concurrence metric has improved since the last review during the </w:t>
      </w:r>
      <w:r w:rsidR="00733E8A">
        <w:t xml:space="preserve">June 2016 </w:t>
      </w:r>
      <w:r w:rsidRPr="00F855D8">
        <w:t>London</w:t>
      </w:r>
      <w:r w:rsidR="00733E8A">
        <w:t xml:space="preserve"> Nadcap</w:t>
      </w:r>
      <w:r w:rsidRPr="00F855D8">
        <w:t xml:space="preserve"> </w:t>
      </w:r>
      <w:r w:rsidR="00733E8A">
        <w:t>M</w:t>
      </w:r>
      <w:r w:rsidRPr="00F855D8">
        <w:t>eeting. Task Group will maintain delegation status for both staff engineers.</w:t>
      </w:r>
    </w:p>
    <w:p w14:paraId="267D89DA" w14:textId="544623B0" w:rsidR="00FA0B5E" w:rsidRDefault="00C86C95" w:rsidP="00FA0B5E">
      <w:pPr>
        <w:pStyle w:val="Heading1"/>
      </w:pPr>
      <w:r>
        <w:t>misc auditor information (as necessary)– CLOSED</w:t>
      </w:r>
    </w:p>
    <w:p w14:paraId="5D133995" w14:textId="59406E1C" w:rsidR="00C86C95" w:rsidRDefault="00F74A76" w:rsidP="00C86C95">
      <w:pPr>
        <w:pStyle w:val="Heading2"/>
      </w:pPr>
      <w:r>
        <w:t>OP 1117 Auditor Consistency</w:t>
      </w:r>
    </w:p>
    <w:p w14:paraId="17CD04F0" w14:textId="6CA16297" w:rsidR="00F855D8" w:rsidRPr="00F855D8" w:rsidRDefault="00F855D8" w:rsidP="00F855D8">
      <w:pPr>
        <w:pStyle w:val="Body"/>
      </w:pPr>
      <w:r w:rsidRPr="00F855D8">
        <w:t>Task Group reviewed auditor feedback given to each of the auditors by the staff engineers.  Task Group concurs with the assessments.</w:t>
      </w:r>
    </w:p>
    <w:p w14:paraId="1DB0CDF3" w14:textId="06503238" w:rsidR="00F74A76" w:rsidRDefault="00F74A76" w:rsidP="00F74A76">
      <w:pPr>
        <w:pStyle w:val="Heading2"/>
      </w:pPr>
      <w:r>
        <w:t>OP 1118 Audit Observations</w:t>
      </w:r>
    </w:p>
    <w:p w14:paraId="4DA34F75" w14:textId="08800C8E" w:rsidR="00F855D8" w:rsidRPr="00F855D8" w:rsidRDefault="00F855D8" w:rsidP="00F855D8">
      <w:pPr>
        <w:pStyle w:val="Body"/>
      </w:pPr>
      <w:r w:rsidRPr="00F855D8">
        <w:t>No observations have been made since last meeting (London).  Several of the new auditors require oversight by the Task Group.  Task Group to view scheduled audits for needed over-sight opportunities.</w:t>
      </w:r>
    </w:p>
    <w:p w14:paraId="39545469" w14:textId="336E6766" w:rsidR="00F74A76" w:rsidRDefault="00F74A76" w:rsidP="00F74A76">
      <w:pPr>
        <w:pStyle w:val="Heading2"/>
      </w:pPr>
      <w:r>
        <w:t>Auditor Conference</w:t>
      </w:r>
    </w:p>
    <w:p w14:paraId="5236099F" w14:textId="77777777" w:rsidR="00F855D8" w:rsidRDefault="00F855D8" w:rsidP="00F855D8">
      <w:pPr>
        <w:pStyle w:val="Body"/>
      </w:pPr>
      <w:r>
        <w:t>Roy Garside and Susan Frailey presented a brief synopsis of topics covered during the auditor conference.  Auditors have proposed adding a quarterly call with the Task Group to improve communication.</w:t>
      </w:r>
    </w:p>
    <w:p w14:paraId="5FA8E4F2" w14:textId="77777777" w:rsidR="00F855D8" w:rsidRDefault="00F855D8" w:rsidP="00F855D8">
      <w:pPr>
        <w:pStyle w:val="Body"/>
      </w:pPr>
      <w:r>
        <w:t xml:space="preserve">Two auditors, Robert </w:t>
      </w:r>
      <w:proofErr w:type="spellStart"/>
      <w:r>
        <w:t>McGerry</w:t>
      </w:r>
      <w:proofErr w:type="spellEnd"/>
      <w:r>
        <w:t xml:space="preserve"> and Robert Reilly, have requested approval for additional checklists.  PRI to initiate the approval process for both auditors per the OP 1116 Appendix ETG.</w:t>
      </w:r>
    </w:p>
    <w:p w14:paraId="08D4565E" w14:textId="41A68D84" w:rsidR="00F74A76" w:rsidRDefault="00F74A76" w:rsidP="00F855D8">
      <w:pPr>
        <w:pStyle w:val="Heading2"/>
      </w:pPr>
      <w:r>
        <w:t>Auditor Candidate test question review</w:t>
      </w:r>
    </w:p>
    <w:p w14:paraId="2D8FE835" w14:textId="2CB41622" w:rsidR="00F855D8" w:rsidRPr="00F855D8" w:rsidRDefault="00F855D8" w:rsidP="00F855D8">
      <w:pPr>
        <w:pStyle w:val="Body"/>
      </w:pPr>
      <w:r>
        <w:t>Not required at this meeting.</w:t>
      </w:r>
    </w:p>
    <w:p w14:paraId="7B7901EC" w14:textId="7FCDBD96" w:rsidR="00F74A76" w:rsidRDefault="00F74A76" w:rsidP="00F74A76">
      <w:pPr>
        <w:pStyle w:val="Heading1"/>
      </w:pPr>
      <w:r>
        <w:t>subscriber discussion</w:t>
      </w:r>
      <w:r w:rsidR="00FD11D5">
        <w:t>– CLOSED</w:t>
      </w:r>
    </w:p>
    <w:p w14:paraId="364A4A7A" w14:textId="74C59CFA" w:rsidR="00F74A76" w:rsidRDefault="00F74A76" w:rsidP="00F74A76">
      <w:pPr>
        <w:pStyle w:val="Heading2"/>
      </w:pPr>
      <w:r>
        <w:t>Technical Discussions associated with audit packages</w:t>
      </w:r>
    </w:p>
    <w:p w14:paraId="1978473E" w14:textId="56CB607C" w:rsidR="00F855D8" w:rsidRDefault="00F855D8" w:rsidP="00F855D8">
      <w:pPr>
        <w:pStyle w:val="Body"/>
      </w:pPr>
      <w:r>
        <w:t xml:space="preserve">Audit 164549 </w:t>
      </w:r>
      <w:r w:rsidR="00733E8A">
        <w:t>nonconformance report (</w:t>
      </w:r>
      <w:r>
        <w:t>NCR</w:t>
      </w:r>
      <w:r w:rsidR="00733E8A">
        <w:t>)</w:t>
      </w:r>
      <w:r>
        <w:t xml:space="preserve"> 10.  Task Group opinion is the requirement is contained in IPC-6012D but is not explicit.  Suggestion to forward to the IPC standards committee for improvement.  Retirement of AC7119/3 and inclusion of questions into the core should resolve the issue.</w:t>
      </w:r>
    </w:p>
    <w:p w14:paraId="3651C960" w14:textId="77777777" w:rsidR="00F855D8" w:rsidRDefault="00F855D8" w:rsidP="00F855D8">
      <w:pPr>
        <w:pStyle w:val="Body"/>
      </w:pPr>
      <w:r>
        <w:t>Audit 172998.  Went to failure ballot (did not pass).  Supplier had many NCRs against the QMS.  Continued discussion about having QMS-derived questions in the checklist.  No decision made.</w:t>
      </w:r>
    </w:p>
    <w:p w14:paraId="5C242472" w14:textId="5EA1382C" w:rsidR="00F855D8" w:rsidRPr="00F855D8" w:rsidRDefault="00F855D8" w:rsidP="00F855D8">
      <w:pPr>
        <w:pStyle w:val="Body"/>
      </w:pPr>
      <w:r>
        <w:t xml:space="preserve">Audit 173725.  Supplier did not implement environmental controls as a part of corrective action from the previous audit.  Task Group reviewed requirements for temperature and humidity. Subscriber with hardware at the </w:t>
      </w:r>
      <w:r w:rsidR="00732333">
        <w:t>S</w:t>
      </w:r>
      <w:r>
        <w:t>upplier to review part ESD requirements.</w:t>
      </w:r>
    </w:p>
    <w:p w14:paraId="2AB377DF" w14:textId="69918DF7" w:rsidR="00F74A76" w:rsidRDefault="00307142" w:rsidP="00F74A76">
      <w:pPr>
        <w:pStyle w:val="Heading2"/>
      </w:pPr>
      <w:proofErr w:type="spellStart"/>
      <w:r>
        <w:lastRenderedPageBreak/>
        <w:t>e</w:t>
      </w:r>
      <w:r w:rsidR="00F74A76">
        <w:t>AuditNet</w:t>
      </w:r>
      <w:proofErr w:type="spellEnd"/>
      <w:r w:rsidR="00F74A76">
        <w:t xml:space="preserve"> training for new Subscriber Voting Members</w:t>
      </w:r>
      <w:r w:rsidR="00835549">
        <w:t xml:space="preserve"> (as necessary)</w:t>
      </w:r>
    </w:p>
    <w:p w14:paraId="064BB9C5" w14:textId="05ED8FB9" w:rsidR="00F855D8" w:rsidRPr="00F855D8" w:rsidRDefault="00F855D8" w:rsidP="00F855D8">
      <w:pPr>
        <w:pStyle w:val="Body"/>
      </w:pPr>
      <w:r>
        <w:t>Not required at this meeting.</w:t>
      </w:r>
    </w:p>
    <w:p w14:paraId="0D9BCEAD" w14:textId="0F111A27" w:rsidR="00F74A76" w:rsidRDefault="00F74A76" w:rsidP="00F74A76">
      <w:pPr>
        <w:pStyle w:val="Heading2"/>
      </w:pPr>
      <w:r>
        <w:t>Review Subscriber Matrix</w:t>
      </w:r>
      <w:r w:rsidR="00835549">
        <w:t xml:space="preserve"> (as necessary)</w:t>
      </w:r>
    </w:p>
    <w:p w14:paraId="1E24F27B" w14:textId="5889EE73" w:rsidR="00F855D8" w:rsidRPr="00F855D8" w:rsidRDefault="00F855D8" w:rsidP="00F855D8">
      <w:pPr>
        <w:pStyle w:val="Body"/>
      </w:pPr>
      <w:proofErr w:type="gramStart"/>
      <w:r w:rsidRPr="00F855D8">
        <w:t>In reference to</w:t>
      </w:r>
      <w:proofErr w:type="gramEnd"/>
      <w:r w:rsidRPr="00F855D8">
        <w:t xml:space="preserve"> ETG, the </w:t>
      </w:r>
      <w:r>
        <w:t>Subscriber m</w:t>
      </w:r>
      <w:r w:rsidRPr="00F855D8">
        <w:t>atrix requires updating for Lockheed Martin and Rockwell Collins.</w:t>
      </w:r>
    </w:p>
    <w:p w14:paraId="25AE0DEB" w14:textId="3E8D968E" w:rsidR="00F74A76" w:rsidRDefault="00F74A76" w:rsidP="00F74A76">
      <w:pPr>
        <w:pStyle w:val="Heading2"/>
      </w:pPr>
      <w:r>
        <w:t>OP 1117 Annex C</w:t>
      </w:r>
    </w:p>
    <w:p w14:paraId="58D5AB30" w14:textId="3E4FFB1A" w:rsidR="00F855D8" w:rsidRDefault="00F855D8" w:rsidP="00F855D8">
      <w:pPr>
        <w:pStyle w:val="Body"/>
      </w:pPr>
      <w:r w:rsidRPr="00F855D8">
        <w:t>Task Group made updates for submission based on the new slash sheet formats.</w:t>
      </w:r>
    </w:p>
    <w:p w14:paraId="1D60DBB4" w14:textId="4EC0FF5B" w:rsidR="00F855D8" w:rsidRDefault="00F855D8" w:rsidP="00F855D8">
      <w:pPr>
        <w:pStyle w:val="Heading2"/>
      </w:pPr>
      <w:r>
        <w:t>New Business</w:t>
      </w:r>
    </w:p>
    <w:p w14:paraId="70BB2694" w14:textId="77777777" w:rsidR="00F855D8" w:rsidRDefault="00F855D8" w:rsidP="00F855D8">
      <w:pPr>
        <w:pStyle w:val="Body"/>
      </w:pPr>
      <w:r>
        <w:t>Roy Garside noted other Task Groups are beginning to include visual acuity standards in their checklists.  This leads to adding MSA for visual inspection.</w:t>
      </w:r>
    </w:p>
    <w:p w14:paraId="56C3FA2B" w14:textId="69F4E266" w:rsidR="00F855D8" w:rsidRDefault="00F855D8" w:rsidP="00F855D8">
      <w:pPr>
        <w:pStyle w:val="Body"/>
      </w:pPr>
      <w:r>
        <w:t xml:space="preserve">General discussion about service provider accreditations to </w:t>
      </w:r>
      <w:r w:rsidR="00732333">
        <w:t>E</w:t>
      </w:r>
      <w:r>
        <w:t>lectronics.  Examples are stand-alone conformal coating houses, programming, and re-packaging.  Topic to be further discussed in open meeting under new business.</w:t>
      </w:r>
    </w:p>
    <w:p w14:paraId="37612DF2" w14:textId="06931414" w:rsidR="00F855D8" w:rsidRDefault="00F855D8" w:rsidP="00F855D8">
      <w:pPr>
        <w:pStyle w:val="Body"/>
      </w:pPr>
      <w:r>
        <w:t xml:space="preserve">Task Group reviewed and dispositioned auditor advisories for </w:t>
      </w:r>
      <w:r w:rsidR="00307142" w:rsidRPr="00307142">
        <w:t xml:space="preserve">be </w:t>
      </w:r>
      <w:r w:rsidR="00307142">
        <w:t>expiry</w:t>
      </w:r>
      <w:r w:rsidR="00307142" w:rsidRPr="00307142">
        <w:t>, modifi</w:t>
      </w:r>
      <w:r w:rsidR="00307142">
        <w:t>cation</w:t>
      </w:r>
      <w:r w:rsidR="00307142" w:rsidRPr="00307142">
        <w:t>, or maintena</w:t>
      </w:r>
      <w:r w:rsidR="00307142">
        <w:t>nce.</w:t>
      </w:r>
    </w:p>
    <w:p w14:paraId="69271B76" w14:textId="4BCDAC81" w:rsidR="00F855D8" w:rsidRPr="001C07AE" w:rsidRDefault="00F855D8" w:rsidP="00720C85">
      <w:pPr>
        <w:pStyle w:val="ActionItem"/>
      </w:pPr>
      <w:r w:rsidRPr="001C07AE">
        <w:t xml:space="preserve">ACTION ITEM:  Scott Meyer to review AC7121 and consolidate all ESD questions into one section via the </w:t>
      </w:r>
      <w:proofErr w:type="spellStart"/>
      <w:r w:rsidRPr="001C07AE">
        <w:t>bfrm</w:t>
      </w:r>
      <w:proofErr w:type="spellEnd"/>
      <w:r w:rsidRPr="001C07AE">
        <w:t>.  (Due Date: 28 Feb-2017).</w:t>
      </w:r>
    </w:p>
    <w:p w14:paraId="262C6D17" w14:textId="5E6CB7C0" w:rsidR="00F855D8" w:rsidRPr="001C07AE" w:rsidRDefault="00F855D8">
      <w:pPr>
        <w:pStyle w:val="ActionItem"/>
      </w:pPr>
      <w:r w:rsidRPr="001C07AE">
        <w:t>ACTION ITEM:  Roger Bloomfield to add the content of 12-001 to the ETG Audit Policy.  (Due Date: 31-Dec-2016)</w:t>
      </w:r>
    </w:p>
    <w:p w14:paraId="5D1117A7" w14:textId="17FD79C9" w:rsidR="00F855D8" w:rsidRPr="001C07AE" w:rsidRDefault="00F855D8">
      <w:pPr>
        <w:pStyle w:val="ActionItem"/>
      </w:pPr>
      <w:r w:rsidRPr="001C07AE">
        <w:t>ACTION ITEM: Roy Garside to re-write advisory 13-003.  Add requirement for risk assessment.  (Due Date: 31-Dec-2016)</w:t>
      </w:r>
    </w:p>
    <w:p w14:paraId="123A75CE" w14:textId="708FC186" w:rsidR="00F855D8" w:rsidRPr="001C07AE" w:rsidRDefault="00F855D8">
      <w:pPr>
        <w:pStyle w:val="ActionItem"/>
      </w:pPr>
      <w:r w:rsidRPr="001C07AE">
        <w:t xml:space="preserve">ACTION ITEM: PRI Staff Engineers to disposition Auditor Advisories per the task group.  </w:t>
      </w:r>
      <w:r w:rsidR="00307142" w:rsidRPr="001C07AE">
        <w:t xml:space="preserve">List retained in </w:t>
      </w:r>
      <w:proofErr w:type="spellStart"/>
      <w:r w:rsidR="00307142" w:rsidRPr="001C07AE">
        <w:t>eAuditNet</w:t>
      </w:r>
      <w:proofErr w:type="spellEnd"/>
      <w:r w:rsidR="008464F3">
        <w:t>.</w:t>
      </w:r>
      <w:r w:rsidR="00307142" w:rsidRPr="001C07AE">
        <w:t xml:space="preserve"> </w:t>
      </w:r>
      <w:r w:rsidRPr="001C07AE">
        <w:t>(Due Date: 31-Dec-2016)</w:t>
      </w:r>
    </w:p>
    <w:p w14:paraId="15011600" w14:textId="77777777" w:rsidR="00307142" w:rsidRPr="001C07AE" w:rsidRDefault="00307142" w:rsidP="00720C85">
      <w:pPr>
        <w:pStyle w:val="ActionItem"/>
      </w:pPr>
      <w:r w:rsidRPr="001C07AE">
        <w:t>ACTION ITEM: PRI to expire 14-002 when the ETG Audit Policy is released.  (Due Date: 20-Feb-2017)</w:t>
      </w:r>
    </w:p>
    <w:p w14:paraId="65B5BEBC" w14:textId="77777777" w:rsidR="00307142" w:rsidRPr="001C07AE" w:rsidRDefault="00307142" w:rsidP="00720C85">
      <w:pPr>
        <w:pStyle w:val="ActionItem"/>
      </w:pPr>
      <w:r w:rsidRPr="001C07AE">
        <w:t>ACTION ITEM: Roger Bloomfield to reword/update 16-001. (Due Date: 31-Dec-2016)</w:t>
      </w:r>
    </w:p>
    <w:p w14:paraId="0863301B" w14:textId="77777777" w:rsidR="00307142" w:rsidRPr="001C07AE" w:rsidRDefault="00307142" w:rsidP="00720C85">
      <w:pPr>
        <w:pStyle w:val="ActionItem"/>
      </w:pPr>
      <w:r w:rsidRPr="001C07AE">
        <w:t>ACTION ITEM: Bill Cardinal to add content of reworded 16-001 to AC7120 handbook.  (Due Date: 31-Dec-2016)</w:t>
      </w:r>
    </w:p>
    <w:p w14:paraId="0CC5CFC4" w14:textId="5D11126D" w:rsidR="00835549" w:rsidRDefault="00835549" w:rsidP="00835549">
      <w:pPr>
        <w:pStyle w:val="Heading1"/>
        <w:numPr>
          <w:ilvl w:val="0"/>
          <w:numId w:val="5"/>
        </w:numPr>
      </w:pPr>
      <w:r>
        <w:t>review and/or accept</w:t>
      </w:r>
      <w:r w:rsidR="00FD11D5">
        <w:t>– open</w:t>
      </w:r>
    </w:p>
    <w:p w14:paraId="124361A5" w14:textId="70BADA4B" w:rsidR="00835549" w:rsidRDefault="00835549" w:rsidP="00835549">
      <w:pPr>
        <w:pStyle w:val="Heading2"/>
      </w:pPr>
      <w:r>
        <w:t>Review Agenda</w:t>
      </w:r>
    </w:p>
    <w:p w14:paraId="4B555A51" w14:textId="5C51EB03" w:rsidR="00F855D8" w:rsidRPr="00F855D8" w:rsidRDefault="00F855D8" w:rsidP="00F855D8">
      <w:pPr>
        <w:pStyle w:val="Body"/>
      </w:pPr>
      <w:r w:rsidRPr="00F855D8">
        <w:t>Roy Garside and Susan Frailey presented the agenda.</w:t>
      </w:r>
    </w:p>
    <w:p w14:paraId="5D9D7B8E" w14:textId="4DB1C2C8" w:rsidR="00835549" w:rsidRDefault="00835549" w:rsidP="00835549">
      <w:pPr>
        <w:pStyle w:val="Heading2"/>
      </w:pPr>
      <w:r>
        <w:t>Acceptance of previous Meeting Minutes</w:t>
      </w:r>
    </w:p>
    <w:p w14:paraId="378A53B0" w14:textId="30D82DB1" w:rsidR="00F855D8" w:rsidRPr="00F855D8" w:rsidRDefault="00F855D8" w:rsidP="00F855D8">
      <w:pPr>
        <w:pStyle w:val="Body"/>
      </w:pPr>
      <w:r>
        <w:t xml:space="preserve">Jim Berry made a motion to accept the previous meeting minutes as written, seconded by Doug </w:t>
      </w:r>
      <w:proofErr w:type="spellStart"/>
      <w:r>
        <w:t>Schueller</w:t>
      </w:r>
      <w:proofErr w:type="spellEnd"/>
      <w:r>
        <w:t>.  Motion carried unopposed.</w:t>
      </w:r>
    </w:p>
    <w:p w14:paraId="6A0EF0BC" w14:textId="3848F195" w:rsidR="00835549" w:rsidRDefault="00835549" w:rsidP="00835549">
      <w:pPr>
        <w:pStyle w:val="Heading2"/>
      </w:pPr>
      <w:r>
        <w:t>Membership Status</w:t>
      </w:r>
    </w:p>
    <w:p w14:paraId="310B303F" w14:textId="77777777" w:rsidR="00F855D8" w:rsidRDefault="00F855D8" w:rsidP="00F855D8">
      <w:pPr>
        <w:ind w:left="720"/>
      </w:pPr>
      <w:r w:rsidRPr="009610A4">
        <w:t xml:space="preserve">The following requests for </w:t>
      </w:r>
      <w:r>
        <w:t xml:space="preserve">additions or changes to </w:t>
      </w:r>
      <w:r w:rsidRPr="009610A4">
        <w:t>voting membership were received</w:t>
      </w:r>
      <w:r>
        <w:t xml:space="preserve"> and confirmed by the Task Group Chairperson pending verification</w:t>
      </w:r>
      <w:r w:rsidRPr="00CB3A67">
        <w:t xml:space="preserve"> </w:t>
      </w:r>
      <w:r>
        <w:t>of PD 1100 requirements</w:t>
      </w:r>
      <w:r w:rsidRPr="009610A4">
        <w:t>:</w:t>
      </w:r>
    </w:p>
    <w:p w14:paraId="15469D95" w14:textId="77777777" w:rsidR="00F855D8" w:rsidRDefault="00F855D8" w:rsidP="00F855D8">
      <w:pPr>
        <w:pStyle w:val="ListParagraph"/>
        <w:numPr>
          <w:ilvl w:val="0"/>
          <w:numId w:val="3"/>
        </w:numPr>
      </w:pPr>
      <w:r>
        <w:lastRenderedPageBreak/>
        <w:t>Subscriber Voting Member: UVM</w:t>
      </w:r>
    </w:p>
    <w:p w14:paraId="5118158D" w14:textId="77777777" w:rsidR="00F855D8" w:rsidRDefault="00F855D8" w:rsidP="00F855D8">
      <w:pPr>
        <w:pStyle w:val="ListParagraph"/>
        <w:numPr>
          <w:ilvl w:val="0"/>
          <w:numId w:val="3"/>
        </w:numPr>
      </w:pPr>
      <w:r>
        <w:t>Supplier Voting Member: SVM</w:t>
      </w:r>
    </w:p>
    <w:p w14:paraId="23FF9372" w14:textId="77777777" w:rsidR="00F855D8" w:rsidRDefault="00F855D8" w:rsidP="00F855D8">
      <w:pPr>
        <w:pStyle w:val="ListParagraph"/>
        <w:numPr>
          <w:ilvl w:val="0"/>
          <w:numId w:val="3"/>
        </w:numPr>
      </w:pPr>
      <w:r>
        <w:t>Alternate: ALT</w:t>
      </w:r>
    </w:p>
    <w:p w14:paraId="1EC8525C" w14:textId="77777777" w:rsidR="00F855D8" w:rsidRDefault="00F855D8" w:rsidP="00F855D8">
      <w:pPr>
        <w:pStyle w:val="ListParagraph"/>
        <w:numPr>
          <w:ilvl w:val="0"/>
          <w:numId w:val="3"/>
        </w:numPr>
      </w:pPr>
      <w:r>
        <w:t>Task Group Chairperson: CHR</w:t>
      </w:r>
    </w:p>
    <w:p w14:paraId="060C5404" w14:textId="77777777" w:rsidR="00F855D8" w:rsidRDefault="00F855D8" w:rsidP="00F855D8">
      <w:pPr>
        <w:pStyle w:val="ListParagraph"/>
        <w:numPr>
          <w:ilvl w:val="0"/>
          <w:numId w:val="3"/>
        </w:numPr>
      </w:pPr>
      <w:r>
        <w:t>Vice Chairperson: VCH</w:t>
      </w:r>
    </w:p>
    <w:p w14:paraId="21FFC099" w14:textId="77777777" w:rsidR="00F855D8" w:rsidRPr="009610A4" w:rsidRDefault="00F855D8" w:rsidP="00F855D8">
      <w:pPr>
        <w:pStyle w:val="ListParagraph"/>
        <w:numPr>
          <w:ilvl w:val="0"/>
          <w:numId w:val="3"/>
        </w:numPr>
      </w:pPr>
      <w:r>
        <w:t>Secretary: SEC</w:t>
      </w:r>
    </w:p>
    <w:tbl>
      <w:tblPr>
        <w:tblW w:w="84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1188"/>
        <w:gridCol w:w="1685"/>
        <w:gridCol w:w="2083"/>
        <w:gridCol w:w="1172"/>
        <w:gridCol w:w="1283"/>
      </w:tblGrid>
      <w:tr w:rsidR="00F855D8" w:rsidRPr="009610A4" w14:paraId="263E8D16" w14:textId="77777777" w:rsidTr="004B2C72">
        <w:trPr>
          <w:trHeight w:val="719"/>
        </w:trPr>
        <w:tc>
          <w:tcPr>
            <w:tcW w:w="1004" w:type="dxa"/>
            <w:shd w:val="clear" w:color="auto" w:fill="auto"/>
          </w:tcPr>
          <w:p w14:paraId="6B8C6853" w14:textId="77777777" w:rsidR="00F855D8" w:rsidRDefault="00F855D8" w:rsidP="004B2C72">
            <w:pPr>
              <w:jc w:val="center"/>
              <w:rPr>
                <w:rFonts w:cs="Arial"/>
                <w:b/>
                <w:bCs/>
                <w:iCs/>
              </w:rPr>
            </w:pPr>
            <w:r w:rsidRPr="009610A4">
              <w:rPr>
                <w:rFonts w:cs="Arial"/>
                <w:b/>
                <w:bCs/>
                <w:iCs/>
              </w:rPr>
              <w:t>First Name</w:t>
            </w:r>
          </w:p>
          <w:p w14:paraId="048B2195" w14:textId="77777777" w:rsidR="00F855D8" w:rsidRPr="009610A4" w:rsidRDefault="00F855D8" w:rsidP="004B2C72">
            <w:pPr>
              <w:jc w:val="center"/>
              <w:rPr>
                <w:rFonts w:cs="Arial"/>
                <w:b/>
                <w:bCs/>
                <w:iCs/>
              </w:rPr>
            </w:pPr>
          </w:p>
        </w:tc>
        <w:tc>
          <w:tcPr>
            <w:tcW w:w="1188" w:type="dxa"/>
            <w:shd w:val="clear" w:color="auto" w:fill="auto"/>
          </w:tcPr>
          <w:p w14:paraId="6893F41E" w14:textId="77777777" w:rsidR="00F855D8" w:rsidRPr="009610A4" w:rsidRDefault="00F855D8" w:rsidP="004B2C72">
            <w:pPr>
              <w:jc w:val="center"/>
              <w:rPr>
                <w:rFonts w:cs="Arial"/>
                <w:b/>
                <w:bCs/>
                <w:iCs/>
              </w:rPr>
            </w:pPr>
            <w:r w:rsidRPr="009610A4">
              <w:rPr>
                <w:rFonts w:cs="Arial"/>
                <w:b/>
                <w:bCs/>
                <w:iCs/>
              </w:rPr>
              <w:t>Surname</w:t>
            </w:r>
          </w:p>
        </w:tc>
        <w:tc>
          <w:tcPr>
            <w:tcW w:w="1685" w:type="dxa"/>
            <w:shd w:val="clear" w:color="auto" w:fill="auto"/>
          </w:tcPr>
          <w:p w14:paraId="0F091C6F" w14:textId="77777777" w:rsidR="00F855D8" w:rsidRPr="009610A4" w:rsidRDefault="00F855D8" w:rsidP="004B2C72">
            <w:pPr>
              <w:jc w:val="center"/>
              <w:rPr>
                <w:rFonts w:cs="Arial"/>
                <w:b/>
                <w:bCs/>
                <w:iCs/>
              </w:rPr>
            </w:pPr>
            <w:r w:rsidRPr="009610A4">
              <w:rPr>
                <w:rFonts w:cs="Arial"/>
                <w:b/>
                <w:bCs/>
                <w:iCs/>
              </w:rPr>
              <w:t>Company</w:t>
            </w:r>
          </w:p>
        </w:tc>
        <w:tc>
          <w:tcPr>
            <w:tcW w:w="2083" w:type="dxa"/>
            <w:shd w:val="clear" w:color="auto" w:fill="auto"/>
          </w:tcPr>
          <w:p w14:paraId="6B9499A0" w14:textId="77777777" w:rsidR="00F855D8" w:rsidRDefault="00F855D8" w:rsidP="004B2C72">
            <w:pPr>
              <w:jc w:val="center"/>
              <w:rPr>
                <w:rFonts w:cs="Arial"/>
                <w:b/>
                <w:bCs/>
                <w:iCs/>
              </w:rPr>
            </w:pPr>
            <w:r>
              <w:rPr>
                <w:rFonts w:cs="Arial"/>
                <w:b/>
                <w:bCs/>
                <w:iCs/>
              </w:rPr>
              <w:t>Position:</w:t>
            </w:r>
          </w:p>
          <w:p w14:paraId="3ED67E05" w14:textId="77777777" w:rsidR="00F855D8" w:rsidRPr="009610A4" w:rsidRDefault="00F855D8" w:rsidP="004B2C72">
            <w:pPr>
              <w:jc w:val="center"/>
              <w:rPr>
                <w:rFonts w:cs="Arial"/>
                <w:b/>
                <w:bCs/>
                <w:iCs/>
              </w:rPr>
            </w:pPr>
            <w:r>
              <w:rPr>
                <w:rFonts w:cs="Arial"/>
                <w:b/>
                <w:bCs/>
                <w:iCs/>
              </w:rPr>
              <w:t>(new / updated role)</w:t>
            </w:r>
          </w:p>
        </w:tc>
        <w:tc>
          <w:tcPr>
            <w:tcW w:w="2455" w:type="dxa"/>
            <w:gridSpan w:val="2"/>
            <w:shd w:val="clear" w:color="auto" w:fill="auto"/>
          </w:tcPr>
          <w:p w14:paraId="45AD5910" w14:textId="77777777" w:rsidR="00F855D8" w:rsidRPr="009610A4" w:rsidRDefault="00F855D8" w:rsidP="004B2C72">
            <w:pPr>
              <w:jc w:val="center"/>
              <w:rPr>
                <w:rFonts w:cs="Arial"/>
                <w:b/>
                <w:bCs/>
                <w:iCs/>
              </w:rPr>
            </w:pPr>
            <w:r w:rsidRPr="009610A4">
              <w:rPr>
                <w:rFonts w:cs="Arial"/>
                <w:b/>
                <w:bCs/>
                <w:iCs/>
              </w:rPr>
              <w:t>Meetings Attended</w:t>
            </w:r>
            <w:r w:rsidRPr="009610A4">
              <w:rPr>
                <w:rFonts w:cs="Arial"/>
                <w:b/>
                <w:bCs/>
                <w:iCs/>
              </w:rPr>
              <w:br/>
              <w:t>(Month/Year)</w:t>
            </w:r>
          </w:p>
        </w:tc>
      </w:tr>
      <w:tr w:rsidR="00F855D8" w:rsidRPr="009610A4" w14:paraId="42458EBE" w14:textId="77777777" w:rsidTr="004B2C72">
        <w:tc>
          <w:tcPr>
            <w:tcW w:w="1004" w:type="dxa"/>
            <w:shd w:val="clear" w:color="auto" w:fill="auto"/>
          </w:tcPr>
          <w:p w14:paraId="48B74967" w14:textId="17FE7665" w:rsidR="00F855D8" w:rsidRPr="009610A4" w:rsidRDefault="00F855D8" w:rsidP="004B2C72">
            <w:pPr>
              <w:rPr>
                <w:rFonts w:cs="Arial"/>
                <w:bCs/>
                <w:iCs/>
              </w:rPr>
            </w:pPr>
            <w:r>
              <w:rPr>
                <w:rFonts w:cs="Arial"/>
                <w:bCs/>
                <w:iCs/>
              </w:rPr>
              <w:t>N/A</w:t>
            </w:r>
          </w:p>
        </w:tc>
        <w:tc>
          <w:tcPr>
            <w:tcW w:w="1188" w:type="dxa"/>
            <w:shd w:val="clear" w:color="auto" w:fill="auto"/>
          </w:tcPr>
          <w:p w14:paraId="3A87C80A" w14:textId="77777777" w:rsidR="00F855D8" w:rsidRPr="009610A4" w:rsidRDefault="00F855D8" w:rsidP="004B2C72">
            <w:pPr>
              <w:rPr>
                <w:rFonts w:cs="Arial"/>
                <w:bCs/>
                <w:iCs/>
              </w:rPr>
            </w:pPr>
          </w:p>
        </w:tc>
        <w:tc>
          <w:tcPr>
            <w:tcW w:w="1685" w:type="dxa"/>
            <w:shd w:val="clear" w:color="auto" w:fill="auto"/>
          </w:tcPr>
          <w:p w14:paraId="0611F663" w14:textId="77777777" w:rsidR="00F855D8" w:rsidRPr="009610A4" w:rsidRDefault="00F855D8" w:rsidP="004B2C72">
            <w:pPr>
              <w:rPr>
                <w:rFonts w:cs="Arial"/>
                <w:bCs/>
                <w:iCs/>
              </w:rPr>
            </w:pPr>
          </w:p>
        </w:tc>
        <w:tc>
          <w:tcPr>
            <w:tcW w:w="2083" w:type="dxa"/>
            <w:shd w:val="clear" w:color="auto" w:fill="auto"/>
          </w:tcPr>
          <w:p w14:paraId="7A25E3C4" w14:textId="77777777" w:rsidR="00F855D8" w:rsidRPr="00C86C9F" w:rsidRDefault="00F855D8" w:rsidP="004B2C72">
            <w:pPr>
              <w:rPr>
                <w:rFonts w:cs="Arial"/>
                <w:bCs/>
                <w:iCs/>
              </w:rPr>
            </w:pPr>
          </w:p>
        </w:tc>
        <w:tc>
          <w:tcPr>
            <w:tcW w:w="1172" w:type="dxa"/>
            <w:shd w:val="clear" w:color="auto" w:fill="auto"/>
          </w:tcPr>
          <w:p w14:paraId="1A9FD210" w14:textId="77777777" w:rsidR="00F855D8" w:rsidRPr="009610A4" w:rsidRDefault="00F855D8" w:rsidP="004B2C72">
            <w:pPr>
              <w:rPr>
                <w:rFonts w:cs="Arial"/>
                <w:bCs/>
                <w:iCs/>
              </w:rPr>
            </w:pPr>
          </w:p>
        </w:tc>
        <w:tc>
          <w:tcPr>
            <w:tcW w:w="1283" w:type="dxa"/>
            <w:shd w:val="clear" w:color="auto" w:fill="auto"/>
          </w:tcPr>
          <w:p w14:paraId="004A6D08" w14:textId="77777777" w:rsidR="00F855D8" w:rsidRPr="00C9352E" w:rsidRDefault="00F855D8" w:rsidP="004B2C72">
            <w:pPr>
              <w:rPr>
                <w:rFonts w:cs="Arial"/>
                <w:bCs/>
                <w:iCs/>
              </w:rPr>
            </w:pPr>
          </w:p>
        </w:tc>
      </w:tr>
    </w:tbl>
    <w:p w14:paraId="7F7CB386" w14:textId="77777777" w:rsidR="00F855D8" w:rsidRPr="009610A4" w:rsidRDefault="00F855D8" w:rsidP="00F855D8">
      <w:pPr>
        <w:spacing w:after="0"/>
        <w:ind w:left="720"/>
      </w:pPr>
    </w:p>
    <w:p w14:paraId="6E000806" w14:textId="6DC585D1" w:rsidR="00F855D8" w:rsidRDefault="00F855D8" w:rsidP="00F855D8">
      <w:pPr>
        <w:pStyle w:val="Body"/>
      </w:pPr>
      <w:r>
        <w:t>The</w:t>
      </w:r>
      <w:r w:rsidRPr="007C56EB">
        <w:t xml:space="preserve"> </w:t>
      </w:r>
      <w:r w:rsidRPr="009F46F5">
        <w:t>compliance to voting requirements</w:t>
      </w:r>
      <w:r>
        <w:t xml:space="preserve"> per PD 1100 were reviewed. </w:t>
      </w:r>
      <w:r w:rsidR="00CA75F6">
        <w:t xml:space="preserve">Lockheed Martin and </w:t>
      </w:r>
      <w:proofErr w:type="spellStart"/>
      <w:r w:rsidR="00CA75F6">
        <w:t>Cristek</w:t>
      </w:r>
      <w:proofErr w:type="spellEnd"/>
      <w:r w:rsidR="00CA75F6">
        <w:t xml:space="preserve"> Interconnect, Inc</w:t>
      </w:r>
      <w:r w:rsidR="00733E8A">
        <w:t>.</w:t>
      </w:r>
      <w:r w:rsidRPr="004F1E64">
        <w:t xml:space="preserve"> </w:t>
      </w:r>
      <w:r>
        <w:t xml:space="preserve">have not met requirements for maintaining their voting rights. Voting rights will be </w:t>
      </w:r>
      <w:r w:rsidRPr="00720C85">
        <w:t>waived/removed</w:t>
      </w:r>
      <w:r>
        <w:t xml:space="preserve"> per Task Group/Task Group Chairperson.</w:t>
      </w:r>
    </w:p>
    <w:p w14:paraId="3ED30418" w14:textId="5BCF142F" w:rsidR="00F855D8" w:rsidRPr="00995975" w:rsidRDefault="00A74036" w:rsidP="00F855D8">
      <w:pPr>
        <w:pStyle w:val="Body"/>
      </w:pPr>
      <w:r w:rsidRPr="00A74036">
        <w:t xml:space="preserve">Lockheed Martin and </w:t>
      </w:r>
      <w:proofErr w:type="spellStart"/>
      <w:r w:rsidRPr="00A74036">
        <w:t>Cristek</w:t>
      </w:r>
      <w:proofErr w:type="spellEnd"/>
      <w:r w:rsidRPr="00A74036">
        <w:t xml:space="preserve"> Interconnect, Inc.</w:t>
      </w:r>
      <w:r>
        <w:t xml:space="preserve"> </w:t>
      </w:r>
      <w:r w:rsidR="00F855D8">
        <w:t>have missed more than two ballots.  Due to the many recent ballots, Task Group will allow them to maintain their voting status.</w:t>
      </w:r>
    </w:p>
    <w:p w14:paraId="2AE3E16C" w14:textId="578B7CDF" w:rsidR="00835549" w:rsidRDefault="00835549" w:rsidP="00835549">
      <w:pPr>
        <w:pStyle w:val="Heading2"/>
      </w:pPr>
      <w:r>
        <w:t>Succession plan (as applicable)</w:t>
      </w:r>
    </w:p>
    <w:p w14:paraId="1D426DC7" w14:textId="06D40B7E" w:rsidR="00F855D8" w:rsidRPr="00F855D8" w:rsidRDefault="00F855D8" w:rsidP="00F855D8">
      <w:pPr>
        <w:pStyle w:val="Body"/>
      </w:pPr>
      <w:r w:rsidRPr="00F855D8">
        <w:t>Not required this meeting.</w:t>
      </w:r>
    </w:p>
    <w:p w14:paraId="3EEEB124" w14:textId="0FC98EA2" w:rsidR="00835549" w:rsidRDefault="00835549" w:rsidP="00835549">
      <w:pPr>
        <w:pStyle w:val="Heading2"/>
      </w:pPr>
      <w:r>
        <w:t>Status of Ballots (as applicable)</w:t>
      </w:r>
    </w:p>
    <w:p w14:paraId="26BDBC9A" w14:textId="77777777" w:rsidR="00F855D8" w:rsidRDefault="00F855D8" w:rsidP="00F855D8">
      <w:pPr>
        <w:pStyle w:val="Body"/>
      </w:pPr>
      <w:r>
        <w:t xml:space="preserve">Julia Markardt gave the </w:t>
      </w:r>
      <w:proofErr w:type="gramStart"/>
      <w:r>
        <w:t>current status</w:t>
      </w:r>
      <w:proofErr w:type="gramEnd"/>
      <w:r>
        <w:t xml:space="preserve"> of checklists in ballot:</w:t>
      </w:r>
    </w:p>
    <w:p w14:paraId="57F92939" w14:textId="53F9ADC4" w:rsidR="00F855D8" w:rsidRDefault="00F855D8" w:rsidP="00F855D8">
      <w:pPr>
        <w:pStyle w:val="Body"/>
      </w:pPr>
      <w:r>
        <w:t>•</w:t>
      </w:r>
      <w:r>
        <w:tab/>
        <w:t>AC7119G approved and effective 5</w:t>
      </w:r>
      <w:r w:rsidR="00733E8A">
        <w:t>-</w:t>
      </w:r>
      <w:r>
        <w:t>Mar</w:t>
      </w:r>
      <w:r w:rsidR="00733E8A">
        <w:t>-</w:t>
      </w:r>
      <w:r>
        <w:t>2017</w:t>
      </w:r>
      <w:r w:rsidR="008464F3">
        <w:t>.</w:t>
      </w:r>
    </w:p>
    <w:p w14:paraId="0CAF6247" w14:textId="77777777" w:rsidR="00F855D8" w:rsidRDefault="00F855D8" w:rsidP="00F855D8">
      <w:pPr>
        <w:pStyle w:val="Body"/>
      </w:pPr>
      <w:r>
        <w:t>•</w:t>
      </w:r>
      <w:r>
        <w:tab/>
        <w:t>AC7120E in final day of NMC review and will be effective March or April 2017.</w:t>
      </w:r>
    </w:p>
    <w:p w14:paraId="4271969F" w14:textId="2C8C25C0" w:rsidR="00F855D8" w:rsidRPr="00F855D8" w:rsidRDefault="00F855D8" w:rsidP="00F855D8">
      <w:pPr>
        <w:pStyle w:val="Body"/>
      </w:pPr>
      <w:r>
        <w:t>•</w:t>
      </w:r>
      <w:r>
        <w:tab/>
        <w:t xml:space="preserve">AC7121D has completed NMC review and will post to </w:t>
      </w:r>
      <w:proofErr w:type="spellStart"/>
      <w:r>
        <w:t>eAudit</w:t>
      </w:r>
      <w:r w:rsidR="00CA75F6">
        <w:t>N</w:t>
      </w:r>
      <w:r>
        <w:t>et</w:t>
      </w:r>
      <w:proofErr w:type="spellEnd"/>
      <w:r>
        <w:t xml:space="preserve"> soon.  Effectivity in March or April 2017</w:t>
      </w:r>
      <w:r w:rsidR="008464F3">
        <w:t>.</w:t>
      </w:r>
    </w:p>
    <w:p w14:paraId="5E7F548E" w14:textId="75D26E3F" w:rsidR="00835549" w:rsidRDefault="00835549" w:rsidP="00835549">
      <w:pPr>
        <w:pStyle w:val="Heading2"/>
      </w:pPr>
      <w:r>
        <w:t>Audit Observations Status (OP 1118)</w:t>
      </w:r>
    </w:p>
    <w:p w14:paraId="24DC4DEA" w14:textId="04C412D2" w:rsidR="00F855D8" w:rsidRPr="00F855D8" w:rsidRDefault="00F855D8" w:rsidP="00F855D8">
      <w:pPr>
        <w:pStyle w:val="Body"/>
      </w:pPr>
      <w:r w:rsidRPr="00F855D8">
        <w:t>Scott Meyer gave the auditor observation status.  No observations performed since the last meeting.  Three auditors require observations.  One additional new auditor will be ready for an observation after March 2017.</w:t>
      </w:r>
    </w:p>
    <w:p w14:paraId="7F53645D" w14:textId="7048579A" w:rsidR="00835549" w:rsidRDefault="00835549" w:rsidP="00835549">
      <w:pPr>
        <w:pStyle w:val="Heading2"/>
      </w:pPr>
      <w:r>
        <w:t>RAIL</w:t>
      </w:r>
    </w:p>
    <w:p w14:paraId="22559CB8" w14:textId="0D295BD5" w:rsidR="00F855D8" w:rsidRPr="00F855D8" w:rsidRDefault="000419B1" w:rsidP="00F855D8">
      <w:pPr>
        <w:pStyle w:val="Body"/>
      </w:pPr>
      <w:r w:rsidRPr="000419B1">
        <w:t xml:space="preserve">The Rolling Action Item List (RAIL) was reviewed.  For specific details, please see the current </w:t>
      </w:r>
      <w:r>
        <w:t>ETG</w:t>
      </w:r>
      <w:r w:rsidRPr="000419B1">
        <w:t xml:space="preserve"> Rolling Action Item List posted at www.eAuditNet.com, under Public Documents.</w:t>
      </w:r>
    </w:p>
    <w:p w14:paraId="70662781" w14:textId="5FA12A4E" w:rsidR="00FD11D5" w:rsidRDefault="00FD11D5" w:rsidP="00FD11D5">
      <w:pPr>
        <w:pStyle w:val="Heading1"/>
      </w:pPr>
      <w:r>
        <w:t>etg appendix update– open</w:t>
      </w:r>
    </w:p>
    <w:p w14:paraId="79E003BA" w14:textId="2C585037" w:rsidR="00FD11D5" w:rsidRDefault="00F855D8" w:rsidP="00F855D8">
      <w:pPr>
        <w:pStyle w:val="Body"/>
      </w:pPr>
      <w:r w:rsidRPr="00F855D8">
        <w:t>Scott Meyer presented the pending changes to OP 1114 Appendix ETG.</w:t>
      </w:r>
      <w:r>
        <w:t xml:space="preserve">  Revisions to include topics relating to:  </w:t>
      </w:r>
      <w:r w:rsidR="00FD11D5">
        <w:t>Job Audit Definition Criteria</w:t>
      </w:r>
      <w:r>
        <w:t xml:space="preserve">, </w:t>
      </w:r>
      <w:r w:rsidR="00FD11D5">
        <w:t>Smart Checklist</w:t>
      </w:r>
      <w:r>
        <w:t xml:space="preserve">, and </w:t>
      </w:r>
      <w:r w:rsidR="00FD11D5">
        <w:t xml:space="preserve">Job </w:t>
      </w:r>
      <w:r>
        <w:t xml:space="preserve">Audit </w:t>
      </w:r>
      <w:r w:rsidR="00FD11D5">
        <w:t>Priority</w:t>
      </w:r>
      <w:r>
        <w:t>.</w:t>
      </w:r>
    </w:p>
    <w:p w14:paraId="27CA0C06" w14:textId="77777777" w:rsidR="00F855D8" w:rsidRDefault="00F855D8" w:rsidP="00F855D8">
      <w:pPr>
        <w:pStyle w:val="Body"/>
      </w:pPr>
      <w:r w:rsidRPr="00F855D8">
        <w:t>Roger Bloomfield presented his proposal for an ETG job audit policy.</w:t>
      </w:r>
      <w:r>
        <w:t xml:space="preserve"> </w:t>
      </w:r>
    </w:p>
    <w:p w14:paraId="48B2A7F6" w14:textId="746087E2" w:rsidR="00F855D8" w:rsidRDefault="00F855D8" w:rsidP="00F855D8">
      <w:pPr>
        <w:pStyle w:val="Body"/>
      </w:pPr>
      <w:r>
        <w:t>A</w:t>
      </w:r>
      <w:r w:rsidRPr="00F855D8">
        <w:t xml:space="preserve"> priority</w:t>
      </w:r>
      <w:r>
        <w:t xml:space="preserve"> list in how </w:t>
      </w:r>
      <w:r w:rsidRPr="00F855D8">
        <w:t xml:space="preserve">to select compliance jobs </w:t>
      </w:r>
      <w:r>
        <w:t>will be added</w:t>
      </w:r>
      <w:r w:rsidR="00CA75F6">
        <w:t xml:space="preserve"> to OP 1114 Appendix ETG</w:t>
      </w:r>
      <w:r>
        <w:t>.</w:t>
      </w:r>
      <w:r w:rsidRPr="00F855D8">
        <w:t xml:space="preserve"> Subscribers with an ETG mandate</w:t>
      </w:r>
      <w:r>
        <w:t xml:space="preserve"> will be top priority</w:t>
      </w:r>
      <w:r w:rsidRPr="00F855D8">
        <w:t>.</w:t>
      </w:r>
    </w:p>
    <w:p w14:paraId="1911E3BB" w14:textId="79522AE7" w:rsidR="00F855D8" w:rsidRPr="001C07AE" w:rsidRDefault="00F855D8" w:rsidP="00720C85">
      <w:pPr>
        <w:pStyle w:val="ActionItem"/>
      </w:pPr>
      <w:r w:rsidRPr="001C07AE">
        <w:t>ACTION ITEM:  Susan Frailey to verify paragraph references of job audit policy for accuracy for each checklist after new update from Roger Bloomfield.  (Due Date:  31-Jan-2017)</w:t>
      </w:r>
    </w:p>
    <w:p w14:paraId="499F61BD" w14:textId="57588FB2" w:rsidR="00307142" w:rsidRPr="001C07AE" w:rsidRDefault="00307142" w:rsidP="00720C85">
      <w:pPr>
        <w:pStyle w:val="ActionItem"/>
      </w:pPr>
      <w:r w:rsidRPr="001C07AE">
        <w:lastRenderedPageBreak/>
        <w:t>ACTION ITEM: PRI to send OP 1114 Appendix ETG and OP 1116 Appendix ETG for ballot.  (Due Date: 30 Nov-</w:t>
      </w:r>
      <w:r w:rsidR="00981F8A">
        <w:t>20</w:t>
      </w:r>
      <w:r w:rsidRPr="001C07AE">
        <w:t>16)</w:t>
      </w:r>
    </w:p>
    <w:p w14:paraId="25379A0E" w14:textId="7B0C8E0D" w:rsidR="008846CC" w:rsidRDefault="008846CC" w:rsidP="00072F3D">
      <w:pPr>
        <w:pStyle w:val="Heading1"/>
      </w:pPr>
      <w:r>
        <w:t>comment resolution for all checklists (if needed)</w:t>
      </w:r>
      <w:r w:rsidRPr="008846CC">
        <w:t xml:space="preserve"> </w:t>
      </w:r>
      <w:r>
        <w:t>– open</w:t>
      </w:r>
    </w:p>
    <w:p w14:paraId="2BB27C57" w14:textId="0DF092BB" w:rsidR="00307142" w:rsidRPr="00307142" w:rsidRDefault="00307142" w:rsidP="00307142">
      <w:pPr>
        <w:pStyle w:val="Body"/>
      </w:pPr>
      <w:r>
        <w:t>Not needed at this meeting.</w:t>
      </w:r>
    </w:p>
    <w:p w14:paraId="4F154327" w14:textId="6BE4BDC8" w:rsidR="008846CC" w:rsidRDefault="008846CC" w:rsidP="008846CC">
      <w:pPr>
        <w:pStyle w:val="Heading1"/>
        <w:numPr>
          <w:ilvl w:val="0"/>
          <w:numId w:val="7"/>
        </w:numPr>
      </w:pPr>
      <w:r>
        <w:t>supplier support committee (SSC) meeting notification– open</w:t>
      </w:r>
    </w:p>
    <w:p w14:paraId="41519B44" w14:textId="485C644F" w:rsidR="00307142" w:rsidRPr="00307142" w:rsidRDefault="00307142" w:rsidP="00307142">
      <w:pPr>
        <w:pStyle w:val="Body"/>
      </w:pPr>
      <w:r w:rsidRPr="00307142">
        <w:t>Susan Frailey gave the SSC presentation and encouraged all members to attend.</w:t>
      </w:r>
    </w:p>
    <w:p w14:paraId="25780227" w14:textId="1B81195F" w:rsidR="008846CC" w:rsidRDefault="008846CC" w:rsidP="008846CC">
      <w:pPr>
        <w:pStyle w:val="Heading1"/>
      </w:pPr>
      <w:r>
        <w:t>review sub-team listing– open</w:t>
      </w:r>
    </w:p>
    <w:p w14:paraId="42B70FDA" w14:textId="747665D0" w:rsidR="00307142" w:rsidRPr="00307142" w:rsidRDefault="00307142" w:rsidP="00307142">
      <w:pPr>
        <w:pStyle w:val="Body"/>
      </w:pPr>
      <w:r w:rsidRPr="00307142">
        <w:t xml:space="preserve">All Task Group sub-team rosters were reviewed and updated.  New team listing posted to </w:t>
      </w:r>
      <w:proofErr w:type="spellStart"/>
      <w:r w:rsidRPr="00307142">
        <w:t>eAudit</w:t>
      </w:r>
      <w:r w:rsidR="00CA75F6">
        <w:t>N</w:t>
      </w:r>
      <w:r w:rsidRPr="00307142">
        <w:t>et</w:t>
      </w:r>
      <w:proofErr w:type="spellEnd"/>
      <w:r w:rsidRPr="00307142">
        <w:t>.</w:t>
      </w:r>
    </w:p>
    <w:p w14:paraId="6D480290" w14:textId="5DEC1A70" w:rsidR="008846CC" w:rsidRDefault="008846CC" w:rsidP="008846CC">
      <w:pPr>
        <w:pStyle w:val="Heading1"/>
      </w:pPr>
      <w:r>
        <w:t>create presentations– open</w:t>
      </w:r>
    </w:p>
    <w:p w14:paraId="76E8F5C9" w14:textId="7E1996F8" w:rsidR="008846CC" w:rsidRDefault="008846CC" w:rsidP="008846CC">
      <w:pPr>
        <w:pStyle w:val="Heading2"/>
      </w:pPr>
      <w:r>
        <w:t>NMC TG report out</w:t>
      </w:r>
    </w:p>
    <w:p w14:paraId="401449E7" w14:textId="77777777" w:rsidR="001C07AE" w:rsidRDefault="001C07AE" w:rsidP="001C07AE">
      <w:pPr>
        <w:pStyle w:val="Heading2"/>
        <w:numPr>
          <w:ilvl w:val="0"/>
          <w:numId w:val="0"/>
        </w:numPr>
        <w:ind w:left="720"/>
      </w:pPr>
      <w:r>
        <w:t>NMC TG report out prepared by the Task Group.</w:t>
      </w:r>
    </w:p>
    <w:p w14:paraId="788AA438" w14:textId="656401C6" w:rsidR="008846CC" w:rsidRDefault="008846CC" w:rsidP="008846CC">
      <w:pPr>
        <w:pStyle w:val="Heading2"/>
      </w:pPr>
      <w:r>
        <w:t>P&amp;O report out (as required)</w:t>
      </w:r>
    </w:p>
    <w:p w14:paraId="48A5077C" w14:textId="4814147E" w:rsidR="001C07AE" w:rsidRPr="001C07AE" w:rsidRDefault="001C07AE" w:rsidP="001C07AE">
      <w:pPr>
        <w:pStyle w:val="Body"/>
      </w:pPr>
      <w:r>
        <w:t>The task group reviewed the completed P&amp;O report out given by Roy Garside.</w:t>
      </w:r>
    </w:p>
    <w:p w14:paraId="6468EC30" w14:textId="43090FBA" w:rsidR="008846CC" w:rsidRDefault="008846CC" w:rsidP="008846CC">
      <w:pPr>
        <w:pStyle w:val="Heading1"/>
      </w:pPr>
      <w:r>
        <w:t>breakout working sessions for smart checklist questions– open</w:t>
      </w:r>
    </w:p>
    <w:p w14:paraId="4DAD3999" w14:textId="7772FB07" w:rsidR="001C07AE" w:rsidRPr="001C07AE" w:rsidRDefault="001C07AE" w:rsidP="001C07AE">
      <w:pPr>
        <w:pStyle w:val="Body"/>
      </w:pPr>
      <w:r>
        <w:t>The t</w:t>
      </w:r>
      <w:r w:rsidRPr="001C07AE">
        <w:t xml:space="preserve">ask </w:t>
      </w:r>
      <w:r>
        <w:t>g</w:t>
      </w:r>
      <w:r w:rsidRPr="001C07AE">
        <w:t>roup reviewed pros and cons of implementing Smart Checklist prior to breaking out by sub team.</w:t>
      </w:r>
    </w:p>
    <w:p w14:paraId="1B9289F7" w14:textId="32463A4C" w:rsidR="008846CC" w:rsidRDefault="008846CC" w:rsidP="008846CC">
      <w:pPr>
        <w:pStyle w:val="Heading2"/>
      </w:pPr>
      <w:r>
        <w:t>AC7119</w:t>
      </w:r>
    </w:p>
    <w:p w14:paraId="74ABFA44" w14:textId="15C85F09" w:rsidR="001C07AE" w:rsidRPr="001C07AE" w:rsidRDefault="001C07AE" w:rsidP="001C07AE">
      <w:pPr>
        <w:pStyle w:val="Body"/>
      </w:pPr>
      <w:r>
        <w:t>Gilbert Shelby reported the AC7119 sub team has identified most of the procedural question as candidates for Smart Checklist.</w:t>
      </w:r>
    </w:p>
    <w:p w14:paraId="481D0180" w14:textId="4B374CAD" w:rsidR="008846CC" w:rsidRDefault="008846CC" w:rsidP="008846CC">
      <w:pPr>
        <w:pStyle w:val="Heading2"/>
      </w:pPr>
      <w:r>
        <w:t>AC7120</w:t>
      </w:r>
    </w:p>
    <w:p w14:paraId="6C78AC38" w14:textId="35029A6D" w:rsidR="001C07AE" w:rsidRPr="001C07AE" w:rsidRDefault="001C07AE" w:rsidP="001C07AE">
      <w:pPr>
        <w:pStyle w:val="Body"/>
      </w:pPr>
      <w:r w:rsidRPr="001C07AE">
        <w:t>Bill Cardinal reported the AC7120 sub team has identified most of the procedural question as candidates for Smart Checklist.</w:t>
      </w:r>
    </w:p>
    <w:p w14:paraId="2E4280BB" w14:textId="2385653C" w:rsidR="000D0B67" w:rsidRDefault="008846CC" w:rsidP="00072F3D">
      <w:pPr>
        <w:pStyle w:val="Heading2"/>
      </w:pPr>
      <w:r>
        <w:t>AC7121</w:t>
      </w:r>
    </w:p>
    <w:p w14:paraId="67C34CDF" w14:textId="3874AE1F" w:rsidR="001C07AE" w:rsidRDefault="001C07AE" w:rsidP="001C07AE">
      <w:pPr>
        <w:pStyle w:val="Body"/>
      </w:pPr>
      <w:r>
        <w:t xml:space="preserve">Scott Meyer reported the AC7121 sub team has </w:t>
      </w:r>
      <w:r w:rsidRPr="001C07AE">
        <w:t>identified most</w:t>
      </w:r>
      <w:r>
        <w:t xml:space="preserve"> of the procedural question as candidates for Smart Checklist.</w:t>
      </w:r>
    </w:p>
    <w:p w14:paraId="4CBA2FF4" w14:textId="4F29ED13" w:rsidR="001C07AE" w:rsidRPr="001C07AE" w:rsidRDefault="001C07AE" w:rsidP="001C07AE">
      <w:pPr>
        <w:pStyle w:val="ActionItem"/>
      </w:pPr>
      <w:r w:rsidRPr="001C07AE">
        <w:t>ACTION ITEM: Sub-team leads to forward copies of checklists with smart checklist questions denoted to PRI Staff Engineer.  (Due Date: 28-Oct-2016)</w:t>
      </w:r>
    </w:p>
    <w:p w14:paraId="596202EB" w14:textId="087A69B3" w:rsidR="000D0B67" w:rsidRDefault="000D0B67" w:rsidP="000D0B67">
      <w:pPr>
        <w:pStyle w:val="Heading1"/>
        <w:numPr>
          <w:ilvl w:val="0"/>
          <w:numId w:val="9"/>
        </w:numPr>
      </w:pPr>
      <w:r>
        <w:t>summary of top ten ncr review</w:t>
      </w:r>
      <w:r w:rsidR="00766538">
        <w:t>– open</w:t>
      </w:r>
    </w:p>
    <w:p w14:paraId="7F48C9C8" w14:textId="4F898736" w:rsidR="000D0B67" w:rsidRDefault="000D0B67" w:rsidP="000D0B67">
      <w:pPr>
        <w:pStyle w:val="Heading2"/>
      </w:pPr>
      <w:r>
        <w:t>AC7119</w:t>
      </w:r>
    </w:p>
    <w:p w14:paraId="4C57D2E7" w14:textId="3ABA3849" w:rsidR="001C07AE" w:rsidRPr="001C07AE" w:rsidRDefault="001C07AE" w:rsidP="001C07AE">
      <w:pPr>
        <w:pStyle w:val="Body"/>
      </w:pPr>
      <w:r w:rsidRPr="001C07AE">
        <w:t>Gilbert Shelby presented data from NCRs written against the last two revisions of the checklist.</w:t>
      </w:r>
    </w:p>
    <w:p w14:paraId="72637677" w14:textId="6A150957" w:rsidR="000D0B67" w:rsidRDefault="000D0B67" w:rsidP="000D0B67">
      <w:pPr>
        <w:pStyle w:val="Heading2"/>
      </w:pPr>
      <w:r>
        <w:t>AC7120</w:t>
      </w:r>
    </w:p>
    <w:p w14:paraId="593DA11F" w14:textId="57056100" w:rsidR="001C07AE" w:rsidRPr="001C07AE" w:rsidRDefault="001C07AE" w:rsidP="001C07AE">
      <w:pPr>
        <w:pStyle w:val="Body"/>
      </w:pPr>
      <w:r w:rsidRPr="001C07AE">
        <w:t>Bill Cardinal presented a summary of NCRs written against AC7120D.</w:t>
      </w:r>
    </w:p>
    <w:p w14:paraId="76B693E7" w14:textId="44144FEF" w:rsidR="000D0B67" w:rsidRDefault="000D0B67" w:rsidP="000D0B67">
      <w:pPr>
        <w:pStyle w:val="Heading2"/>
      </w:pPr>
      <w:r>
        <w:t>AC7121</w:t>
      </w:r>
    </w:p>
    <w:p w14:paraId="017C8C70" w14:textId="451C0BD1" w:rsidR="001C07AE" w:rsidRDefault="001C07AE" w:rsidP="001C07AE">
      <w:pPr>
        <w:pStyle w:val="Body"/>
      </w:pPr>
      <w:r w:rsidRPr="001C07AE">
        <w:t>Scott Meyer presented the NCR data from AC7121C audits.</w:t>
      </w:r>
    </w:p>
    <w:p w14:paraId="5FFE3C39" w14:textId="12F74898" w:rsidR="001C07AE" w:rsidRPr="001C07AE" w:rsidRDefault="001C07AE" w:rsidP="001C07AE">
      <w:pPr>
        <w:pStyle w:val="ActionItem"/>
      </w:pPr>
      <w:r>
        <w:lastRenderedPageBreak/>
        <w:t>ACTION ITEM</w:t>
      </w:r>
      <w:r w:rsidRPr="001C07AE">
        <w:t>: Vijay Kumar to approach the J-STD-001 committee concerning changing the nickel level in the solder impurity table. (Due Date: 28 Feb-2017)</w:t>
      </w:r>
    </w:p>
    <w:p w14:paraId="6576B984" w14:textId="5B35B937" w:rsidR="000D0B67" w:rsidRDefault="000D0B67" w:rsidP="000D0B67">
      <w:pPr>
        <w:pStyle w:val="Heading1"/>
      </w:pPr>
      <w:r>
        <w:t>breakout sessions</w:t>
      </w:r>
      <w:r w:rsidR="00766538">
        <w:t>– open</w:t>
      </w:r>
    </w:p>
    <w:p w14:paraId="28D34E29" w14:textId="5A4B4AEE" w:rsidR="000D0B67" w:rsidRDefault="000D0B67" w:rsidP="000D0B67">
      <w:pPr>
        <w:pStyle w:val="Heading2"/>
      </w:pPr>
      <w:r>
        <w:t>AC7119/5</w:t>
      </w:r>
    </w:p>
    <w:p w14:paraId="7B5A835B" w14:textId="28FF5807" w:rsidR="001C07AE" w:rsidRPr="001C07AE" w:rsidRDefault="001C07AE" w:rsidP="001C07AE">
      <w:pPr>
        <w:pStyle w:val="Body"/>
      </w:pPr>
      <w:r w:rsidRPr="001C07AE">
        <w:t>Gilbert Shelby reported on the progress made towards slash sheet completion.</w:t>
      </w:r>
    </w:p>
    <w:p w14:paraId="6D7EFB64" w14:textId="158674C4" w:rsidR="00766538" w:rsidRDefault="00766538" w:rsidP="00766538">
      <w:pPr>
        <w:pStyle w:val="Heading2"/>
      </w:pPr>
      <w:r>
        <w:t>AC7120 vs J-STD-001F</w:t>
      </w:r>
    </w:p>
    <w:p w14:paraId="56A4421E" w14:textId="3A04BB00" w:rsidR="001C07AE" w:rsidRPr="001C07AE" w:rsidRDefault="001C07AE" w:rsidP="001C07AE">
      <w:pPr>
        <w:pStyle w:val="Body"/>
      </w:pPr>
      <w:r w:rsidRPr="001C07AE">
        <w:t>Bill Cardinal covered the review of the submitted action items comparing J-STD-001F requirements to covered checklist requirements. Not all team members have completed their actions.</w:t>
      </w:r>
    </w:p>
    <w:p w14:paraId="2A0B21C4" w14:textId="623A30AF" w:rsidR="00766538" w:rsidRDefault="00766538" w:rsidP="00766538">
      <w:pPr>
        <w:pStyle w:val="Heading2"/>
      </w:pPr>
      <w:r>
        <w:t>AC7121 vs. IPC/WHMA-A-620C</w:t>
      </w:r>
    </w:p>
    <w:p w14:paraId="680A4F51" w14:textId="5A233591" w:rsidR="001C07AE" w:rsidRPr="001C07AE" w:rsidRDefault="001C07AE" w:rsidP="001C07AE">
      <w:pPr>
        <w:pStyle w:val="Body"/>
      </w:pPr>
      <w:r w:rsidRPr="001C07AE">
        <w:t>Scott Meyer reported on the progress made updating the AC7121 handbook specification references to IPC/WHMA-A-620B.</w:t>
      </w:r>
    </w:p>
    <w:p w14:paraId="2AFF7B78" w14:textId="6D6A8D3A" w:rsidR="00766538" w:rsidRDefault="00766538" w:rsidP="00072F3D">
      <w:pPr>
        <w:pStyle w:val="Heading2"/>
      </w:pPr>
      <w:r>
        <w:t>AC7120/11</w:t>
      </w:r>
    </w:p>
    <w:p w14:paraId="67E0F573" w14:textId="4CB2F01E" w:rsidR="001C07AE" w:rsidRDefault="001C07AE" w:rsidP="001C07AE">
      <w:pPr>
        <w:pStyle w:val="Body"/>
      </w:pPr>
      <w:r w:rsidRPr="001C07AE">
        <w:t>Roger Bloomfield covered the progress made on the slash sheet versus the draft IEC sheet.</w:t>
      </w:r>
    </w:p>
    <w:p w14:paraId="756AEBA0" w14:textId="77777777" w:rsidR="001C07AE" w:rsidRDefault="001C07AE" w:rsidP="001C07AE">
      <w:pPr>
        <w:pStyle w:val="Heading2"/>
      </w:pPr>
      <w:r w:rsidRPr="001C07AE">
        <w:t>MSA/SPC</w:t>
      </w:r>
      <w:r w:rsidRPr="001C07AE">
        <w:tab/>
      </w:r>
    </w:p>
    <w:p w14:paraId="07B29FD2" w14:textId="28CBF094" w:rsidR="001C07AE" w:rsidRDefault="001C07AE" w:rsidP="001C07AE">
      <w:pPr>
        <w:pStyle w:val="Body"/>
      </w:pPr>
      <w:r w:rsidRPr="001C07AE">
        <w:t>Roy Garside presented material received from the</w:t>
      </w:r>
      <w:r w:rsidR="00733E8A">
        <w:t xml:space="preserve"> Measurement &amp; Inspection</w:t>
      </w:r>
      <w:r w:rsidRPr="001C07AE">
        <w:t xml:space="preserve"> </w:t>
      </w:r>
      <w:r w:rsidR="00733E8A">
        <w:t>(</w:t>
      </w:r>
      <w:r w:rsidRPr="001C07AE">
        <w:t>M&amp;I</w:t>
      </w:r>
      <w:r w:rsidR="00733E8A">
        <w:t>)</w:t>
      </w:r>
      <w:r w:rsidRPr="001C07AE">
        <w:t xml:space="preserve"> Task Group.  It explains the purpose of MSA.</w:t>
      </w:r>
    </w:p>
    <w:p w14:paraId="50DE1FDF" w14:textId="4E1B30CF" w:rsidR="002F2197" w:rsidRDefault="002F2197" w:rsidP="00720C85">
      <w:pPr>
        <w:pStyle w:val="ActionItem"/>
      </w:pPr>
      <w:r w:rsidRPr="001C07AE">
        <w:t xml:space="preserve">ACTION ITEM:  PRI to schedule AC7119 sub-team </w:t>
      </w:r>
      <w:proofErr w:type="spellStart"/>
      <w:r w:rsidRPr="001C07AE">
        <w:t>Webex</w:t>
      </w:r>
      <w:proofErr w:type="spellEnd"/>
      <w:r w:rsidRPr="001C07AE">
        <w:t xml:space="preserve"> for 22-Dec-2016 from 11-12 Eastern</w:t>
      </w:r>
      <w:r>
        <w:t xml:space="preserve"> and</w:t>
      </w:r>
      <w:r w:rsidRPr="001C07AE">
        <w:t xml:space="preserve"> 19-Jan-2017 from 11-12 Eastern</w:t>
      </w:r>
      <w:r w:rsidR="008464F3">
        <w:t>.</w:t>
      </w:r>
      <w:r w:rsidRPr="001C07AE">
        <w:t xml:space="preserve"> (Due Date: 18-Nov-2016)</w:t>
      </w:r>
    </w:p>
    <w:p w14:paraId="78FC6EEE" w14:textId="1D37B0B8" w:rsidR="002F2197" w:rsidRPr="002F2197" w:rsidRDefault="002F2197" w:rsidP="00720C85">
      <w:pPr>
        <w:pStyle w:val="ActionItem"/>
      </w:pPr>
      <w:r w:rsidRPr="002F2197">
        <w:t xml:space="preserve">ACTION ITEM:  Roger Bloomfield to send AC7120/11 to </w:t>
      </w:r>
      <w:r w:rsidR="00CA75F6">
        <w:t>identif</w:t>
      </w:r>
      <w:r w:rsidR="00732333">
        <w:t>y</w:t>
      </w:r>
      <w:r w:rsidR="00CA75F6">
        <w:t xml:space="preserve"> Suppliers </w:t>
      </w:r>
      <w:r w:rsidRPr="002F2197">
        <w:t>for comments by end of November.  (Due Date: 4-Nov-2016)</w:t>
      </w:r>
    </w:p>
    <w:p w14:paraId="0738A1DE" w14:textId="05411F99" w:rsidR="002F2197" w:rsidRPr="002F2197" w:rsidRDefault="002F2197" w:rsidP="00720C85">
      <w:pPr>
        <w:pStyle w:val="ActionItem"/>
      </w:pPr>
      <w:r>
        <w:t>ACTION ITEM</w:t>
      </w:r>
      <w:r w:rsidRPr="002F2197">
        <w:t>: Roger Bloomfield to incorporate comments into the AC7120/11 and send PRI. (Due Date: 31-Dec-2016)</w:t>
      </w:r>
    </w:p>
    <w:p w14:paraId="22A66970" w14:textId="3E42B4CD" w:rsidR="002F2197" w:rsidRPr="002F2197" w:rsidRDefault="002F2197" w:rsidP="00720C85">
      <w:pPr>
        <w:pStyle w:val="ActionItem"/>
      </w:pPr>
      <w:r>
        <w:t>ACTION ITEM</w:t>
      </w:r>
      <w:r w:rsidRPr="002F2197">
        <w:t xml:space="preserve">: PRI to format AC7120/11 and send to </w:t>
      </w:r>
      <w:r>
        <w:t xml:space="preserve">7120 </w:t>
      </w:r>
      <w:r w:rsidRPr="002F2197">
        <w:t>sub team for review. (Due Date: 31-Jan-2017)</w:t>
      </w:r>
    </w:p>
    <w:p w14:paraId="6527B278" w14:textId="71A9DF68" w:rsidR="002F2197" w:rsidRPr="002F2197" w:rsidRDefault="002F2197" w:rsidP="00720C85">
      <w:pPr>
        <w:pStyle w:val="ActionItem"/>
      </w:pPr>
      <w:r>
        <w:t>ACTION ITEM</w:t>
      </w:r>
      <w:r w:rsidRPr="002F2197">
        <w:t xml:space="preserve">: Roger Bloomfield to present final draft of proposed AC7120/11 update to Task Group during </w:t>
      </w:r>
      <w:r>
        <w:t>February 2017 Nadcap</w:t>
      </w:r>
      <w:r w:rsidRPr="002F2197">
        <w:t xml:space="preserve"> meeting.  (Due Date: 20-Feb-2017)</w:t>
      </w:r>
    </w:p>
    <w:p w14:paraId="3FEA7FEE" w14:textId="1CEC9BAF" w:rsidR="00766538" w:rsidRDefault="00766538" w:rsidP="00766538">
      <w:pPr>
        <w:pStyle w:val="Heading1"/>
        <w:numPr>
          <w:ilvl w:val="0"/>
          <w:numId w:val="11"/>
        </w:numPr>
      </w:pPr>
      <w:r>
        <w:t>review and report out of legacy b-frm status– open</w:t>
      </w:r>
    </w:p>
    <w:p w14:paraId="4C71B470" w14:textId="1BCF22CA" w:rsidR="002F2197" w:rsidRDefault="002F2197" w:rsidP="002F2197">
      <w:pPr>
        <w:pStyle w:val="Body"/>
      </w:pPr>
      <w:r>
        <w:t xml:space="preserve">Old </w:t>
      </w:r>
      <w:proofErr w:type="spellStart"/>
      <w:r>
        <w:t>bfrm</w:t>
      </w:r>
      <w:proofErr w:type="spellEnd"/>
      <w:r>
        <w:t xml:space="preserve"> was not located. </w:t>
      </w:r>
      <w:r w:rsidR="00CA75F6">
        <w:t>A new</w:t>
      </w:r>
      <w:r>
        <w:t xml:space="preserve"> </w:t>
      </w:r>
      <w:proofErr w:type="spellStart"/>
      <w:r>
        <w:t>bfrm</w:t>
      </w:r>
      <w:proofErr w:type="spellEnd"/>
      <w:r>
        <w:t xml:space="preserve"> </w:t>
      </w:r>
      <w:r w:rsidR="00CA75F6">
        <w:t xml:space="preserve">was </w:t>
      </w:r>
      <w:r>
        <w:t xml:space="preserve">created and posted in </w:t>
      </w:r>
      <w:proofErr w:type="spellStart"/>
      <w:r>
        <w:t>eAudit</w:t>
      </w:r>
      <w:r w:rsidR="00CA75F6">
        <w:t>N</w:t>
      </w:r>
      <w:r>
        <w:t>et</w:t>
      </w:r>
      <w:proofErr w:type="spellEnd"/>
      <w:r>
        <w:t xml:space="preserve"> which will have a separate tab for each checklist.  File will be write-protected by staff engineers.</w:t>
      </w:r>
      <w:r w:rsidR="00E435D6">
        <w:t xml:space="preserve"> Updates will be sent by Task Group members to PRI for inclusion into the master file.</w:t>
      </w:r>
    </w:p>
    <w:p w14:paraId="3C1D48A3" w14:textId="380EA680" w:rsidR="002F2197" w:rsidRPr="002F2197" w:rsidRDefault="002F2197" w:rsidP="002F2197">
      <w:pPr>
        <w:rPr>
          <w:b/>
          <w:i/>
        </w:rPr>
      </w:pPr>
      <w:r w:rsidRPr="002F2197">
        <w:rPr>
          <w:b/>
          <w:i/>
        </w:rPr>
        <w:t>A</w:t>
      </w:r>
      <w:r>
        <w:rPr>
          <w:b/>
          <w:i/>
        </w:rPr>
        <w:t>CTION ITEM</w:t>
      </w:r>
      <w:r w:rsidRPr="002F2197">
        <w:rPr>
          <w:b/>
          <w:i/>
        </w:rPr>
        <w:t>:  PRI to format and save new b-form and update read-only file in the public folder.  There will be a page for each checklist and slash sheet. (Due Date: 30-Nov-2016)</w:t>
      </w:r>
    </w:p>
    <w:p w14:paraId="583873BD" w14:textId="4F16B23A" w:rsidR="00766538" w:rsidRDefault="00766538" w:rsidP="00766538">
      <w:pPr>
        <w:pStyle w:val="Heading1"/>
      </w:pPr>
      <w:r>
        <w:t>checklist revision handbook update-working sessions– open</w:t>
      </w:r>
    </w:p>
    <w:p w14:paraId="34C02E8B" w14:textId="2BB8DA3D" w:rsidR="00766538" w:rsidRDefault="00766538" w:rsidP="00766538">
      <w:pPr>
        <w:pStyle w:val="Heading2"/>
      </w:pPr>
      <w:r>
        <w:t>AC7119</w:t>
      </w:r>
    </w:p>
    <w:p w14:paraId="6E5A2CEB" w14:textId="3A97D5D1" w:rsidR="002F2197" w:rsidRPr="002F2197" w:rsidRDefault="002F2197" w:rsidP="002F2197">
      <w:pPr>
        <w:pStyle w:val="Body"/>
      </w:pPr>
      <w:r w:rsidRPr="002F2197">
        <w:t>Gilbert Shelby gave status on the handbook update.  The origin table has been divided up amongst the session members for update.  Handbook has been updated to the latest revision.</w:t>
      </w:r>
    </w:p>
    <w:p w14:paraId="18CFBD47" w14:textId="6D992CDA" w:rsidR="00766538" w:rsidRDefault="00766538" w:rsidP="00766538">
      <w:pPr>
        <w:pStyle w:val="Heading2"/>
      </w:pPr>
      <w:r>
        <w:lastRenderedPageBreak/>
        <w:t>AC7120</w:t>
      </w:r>
    </w:p>
    <w:p w14:paraId="0BFDF92A" w14:textId="4EBF6EE9" w:rsidR="002F2197" w:rsidRPr="002F2197" w:rsidRDefault="002F2197" w:rsidP="002F2197">
      <w:pPr>
        <w:pStyle w:val="Body"/>
      </w:pPr>
      <w:r w:rsidRPr="002F2197">
        <w:t>Bill Cardinal updated the Task Group on the progress to update for the current slash sheet format.</w:t>
      </w:r>
    </w:p>
    <w:p w14:paraId="08DCD124" w14:textId="285A871B" w:rsidR="00766538" w:rsidRDefault="00766538" w:rsidP="00766538">
      <w:pPr>
        <w:pStyle w:val="Heading2"/>
      </w:pPr>
      <w:r>
        <w:t>AC7121</w:t>
      </w:r>
    </w:p>
    <w:p w14:paraId="76203808" w14:textId="2A8D86D0" w:rsidR="002F2197" w:rsidRDefault="002F2197" w:rsidP="002F2197">
      <w:pPr>
        <w:pStyle w:val="Body"/>
      </w:pPr>
      <w:r w:rsidRPr="002F2197">
        <w:t>Scott Meyer reported the AC7121 has completed the update of the reference table to current IPC/WHMA-A-620B requirements.</w:t>
      </w:r>
    </w:p>
    <w:p w14:paraId="5CD9B29F" w14:textId="26027377" w:rsidR="002F2197" w:rsidRDefault="002F2197" w:rsidP="002F2197">
      <w:pPr>
        <w:pStyle w:val="ActionItem"/>
      </w:pPr>
      <w:r w:rsidRPr="002F2197">
        <w:t>A</w:t>
      </w:r>
      <w:r>
        <w:t>CTION ITEM</w:t>
      </w:r>
      <w:r w:rsidRPr="002F2197">
        <w:t>: PRI to update/input AC7119 core and slash sheets into the handbook format.  (Due Date: 18-Nov-2016)</w:t>
      </w:r>
    </w:p>
    <w:p w14:paraId="002C9724" w14:textId="0F9BFD52" w:rsidR="002F2197" w:rsidRPr="002F2197" w:rsidRDefault="002F2197" w:rsidP="00720C85">
      <w:pPr>
        <w:pStyle w:val="ActionItem"/>
      </w:pPr>
      <w:r>
        <w:t>ACTION ITEM</w:t>
      </w:r>
      <w:r w:rsidRPr="002F2197">
        <w:t>: Bill Cardinal to divide AC7120 handbook tasks and send out to the team. (Due Date: 30-Nov-2016)</w:t>
      </w:r>
    </w:p>
    <w:p w14:paraId="69426BA0" w14:textId="4714636A" w:rsidR="002F2197" w:rsidRPr="002F2197" w:rsidRDefault="002F2197" w:rsidP="00720C85">
      <w:pPr>
        <w:pStyle w:val="ActionItem"/>
      </w:pPr>
      <w:r>
        <w:t>ACTION ITEM</w:t>
      </w:r>
      <w:r w:rsidRPr="002F2197">
        <w:t>: PRI to update/input AC7120 core and slash sheets into the handbook format.  (Due Date: 18-Nov-2016)</w:t>
      </w:r>
    </w:p>
    <w:p w14:paraId="7C1CCBDB" w14:textId="07BF9513" w:rsidR="00766538" w:rsidRDefault="00766538" w:rsidP="00766538">
      <w:pPr>
        <w:pStyle w:val="Heading1"/>
      </w:pPr>
      <w:r>
        <w:t>various report outs</w:t>
      </w:r>
      <w:r w:rsidR="00E4193D">
        <w:t>– open</w:t>
      </w:r>
    </w:p>
    <w:p w14:paraId="4F640B35" w14:textId="7436A269" w:rsidR="00766538" w:rsidRDefault="00766538" w:rsidP="00766538">
      <w:pPr>
        <w:pStyle w:val="Heading2"/>
      </w:pPr>
      <w:r>
        <w:t>AQS Liaison</w:t>
      </w:r>
    </w:p>
    <w:p w14:paraId="6F018C3B" w14:textId="26512934" w:rsidR="002F2197" w:rsidRPr="002F2197" w:rsidRDefault="002F2197" w:rsidP="002F2197">
      <w:pPr>
        <w:pStyle w:val="Body"/>
      </w:pPr>
      <w:r>
        <w:t xml:space="preserve">Gilbert Shelby summarized the activity of the AQS meeting.  During an M&amp;I oversight audit the auditor felt some questions were asking QMS existence questions.  Questions are likely acceptable if the question asks if a procedure has relevant provisions.  The </w:t>
      </w:r>
      <w:r w:rsidR="00A74036">
        <w:t xml:space="preserve">AQS </w:t>
      </w:r>
      <w:r>
        <w:t>liaison project is awaiting responses from several Task Groups.</w:t>
      </w:r>
    </w:p>
    <w:p w14:paraId="17CD7440" w14:textId="296D9777" w:rsidR="00766538" w:rsidRDefault="00766538" w:rsidP="00766538">
      <w:pPr>
        <w:pStyle w:val="Heading2"/>
      </w:pPr>
      <w:r>
        <w:t>SSC</w:t>
      </w:r>
    </w:p>
    <w:p w14:paraId="141A74F0" w14:textId="4813AAEF" w:rsidR="002F2197" w:rsidRDefault="002F2197" w:rsidP="002F2197">
      <w:pPr>
        <w:pStyle w:val="Body"/>
      </w:pPr>
      <w:r>
        <w:t xml:space="preserve">Doug </w:t>
      </w:r>
      <w:proofErr w:type="spellStart"/>
      <w:r>
        <w:t>Schueller</w:t>
      </w:r>
      <w:proofErr w:type="spellEnd"/>
      <w:r>
        <w:t xml:space="preserve"> reported on the activities of the SSC.  Items included notice of address changes, and Task Group participation.  There will be an SSC format change for the February 2017 meeting in which several activities will be moved from Tuesday to Monday morning.</w:t>
      </w:r>
    </w:p>
    <w:p w14:paraId="6C587696" w14:textId="5604E12B" w:rsidR="002F2197" w:rsidRPr="002F2197" w:rsidRDefault="002F2197" w:rsidP="002F2197">
      <w:pPr>
        <w:pStyle w:val="Body"/>
      </w:pPr>
      <w:r>
        <w:t>The planned self-audit submittal requirement elicited a lot of response from the suppliers, primarily how long the documents will remain in the system.</w:t>
      </w:r>
    </w:p>
    <w:p w14:paraId="34AFE41D" w14:textId="18CA47D7" w:rsidR="00766538" w:rsidRDefault="00E4193D" w:rsidP="00E4193D">
      <w:pPr>
        <w:pStyle w:val="Heading2"/>
      </w:pPr>
      <w:r>
        <w:t>Planning &amp; Ops</w:t>
      </w:r>
    </w:p>
    <w:p w14:paraId="047559A6" w14:textId="77777777" w:rsidR="002F2197" w:rsidRDefault="002F2197" w:rsidP="002F2197">
      <w:pPr>
        <w:pStyle w:val="Body"/>
      </w:pPr>
      <w:r>
        <w:t>Roy Garside summarized the Planning and Ops discussions.</w:t>
      </w:r>
    </w:p>
    <w:p w14:paraId="24FCF3F2" w14:textId="77777777" w:rsidR="002F2197" w:rsidRDefault="002F2197" w:rsidP="002F2197">
      <w:pPr>
        <w:pStyle w:val="Body"/>
      </w:pPr>
      <w:r>
        <w:t>•</w:t>
      </w:r>
      <w:r>
        <w:tab/>
        <w:t xml:space="preserve">The supplier self-audit submittal requirement elicited much discussion.  </w:t>
      </w:r>
    </w:p>
    <w:p w14:paraId="17275F10" w14:textId="4CBEBEA3" w:rsidR="002F2197" w:rsidRDefault="002F2197" w:rsidP="002F2197">
      <w:pPr>
        <w:pStyle w:val="Body"/>
      </w:pPr>
      <w:r>
        <w:t>•</w:t>
      </w:r>
      <w:r>
        <w:tab/>
        <w:t>The Smart Checklist implementation has been deemed a technical change by the members presented and will require ETG to re-ballot the checklists.  The ballot will also include the three required self</w:t>
      </w:r>
      <w:r w:rsidR="00DE2B40">
        <w:t>-</w:t>
      </w:r>
      <w:r>
        <w:t>audit questions as mandated by the NMC.</w:t>
      </w:r>
    </w:p>
    <w:p w14:paraId="2332B396" w14:textId="5C769B9D" w:rsidR="002F2197" w:rsidRPr="002F2197" w:rsidRDefault="002F2197" w:rsidP="002F2197">
      <w:pPr>
        <w:pStyle w:val="Body"/>
      </w:pPr>
      <w:r>
        <w:t>•</w:t>
      </w:r>
      <w:r>
        <w:tab/>
        <w:t xml:space="preserve">The new risk mitigation process will take effect on 1 January 2017.  </w:t>
      </w:r>
    </w:p>
    <w:p w14:paraId="3077E485" w14:textId="4D3CB5B8" w:rsidR="00E4193D" w:rsidRDefault="00E4193D" w:rsidP="00E4193D">
      <w:pPr>
        <w:pStyle w:val="Heading2"/>
      </w:pPr>
      <w:r>
        <w:t>IPC</w:t>
      </w:r>
    </w:p>
    <w:p w14:paraId="2D142BF6" w14:textId="1A47ACA7" w:rsidR="002F2197" w:rsidRPr="002F2197" w:rsidRDefault="002F2197" w:rsidP="002F2197">
      <w:pPr>
        <w:pStyle w:val="Body"/>
      </w:pPr>
      <w:r w:rsidRPr="002F2197">
        <w:t>Scott Meyer (with input from other IPC committee members in ETG) updated the Task Group on the status of IPC standards and IPC standards committee activities.</w:t>
      </w:r>
    </w:p>
    <w:p w14:paraId="1B2006CE" w14:textId="5BC6AFC6" w:rsidR="00E4193D" w:rsidRDefault="00E4193D" w:rsidP="00E4193D">
      <w:pPr>
        <w:pStyle w:val="Heading1"/>
      </w:pPr>
      <w:r>
        <w:t>New business– open</w:t>
      </w:r>
    </w:p>
    <w:p w14:paraId="54A015EB" w14:textId="04C4239E" w:rsidR="00E4193D" w:rsidRDefault="00E4193D" w:rsidP="00E4193D">
      <w:pPr>
        <w:pStyle w:val="Heading2"/>
      </w:pPr>
      <w:r>
        <w:t>New Technologies-chip on board (and spreadsheet)</w:t>
      </w:r>
    </w:p>
    <w:p w14:paraId="73970464" w14:textId="320A7F69" w:rsidR="002F2197" w:rsidRPr="002F2197" w:rsidRDefault="00CA75F6" w:rsidP="002F2197">
      <w:pPr>
        <w:pStyle w:val="Body"/>
      </w:pPr>
      <w:r>
        <w:t>It was n</w:t>
      </w:r>
      <w:r w:rsidRPr="00CA75F6">
        <w:t>oted that we need to do something about this but no action generated</w:t>
      </w:r>
      <w:r>
        <w:t xml:space="preserve"> during this meeting.</w:t>
      </w:r>
    </w:p>
    <w:p w14:paraId="5032580B" w14:textId="545B38B5" w:rsidR="002F2197" w:rsidRDefault="002F2197" w:rsidP="002F2197">
      <w:pPr>
        <w:pStyle w:val="Heading2"/>
      </w:pPr>
      <w:r>
        <w:lastRenderedPageBreak/>
        <w:t xml:space="preserve">AC7120 and </w:t>
      </w:r>
      <w:r w:rsidR="00DE2B40">
        <w:t xml:space="preserve">the </w:t>
      </w:r>
      <w:r>
        <w:t xml:space="preserve">number of days </w:t>
      </w:r>
      <w:r w:rsidR="00DE2B40">
        <w:t xml:space="preserve">for </w:t>
      </w:r>
      <w:r>
        <w:t>an audit</w:t>
      </w:r>
    </w:p>
    <w:p w14:paraId="56C3C4A1" w14:textId="03905FAD" w:rsidR="002F2197" w:rsidRDefault="002F2197" w:rsidP="002F2197">
      <w:pPr>
        <w:pStyle w:val="Body"/>
      </w:pPr>
      <w:r w:rsidRPr="002F2197">
        <w:t xml:space="preserve">Task Group reviewed proposed AC7120 slash sheet time updates.  AC7120/7 was revised to 0.5 days, retaining a full scope audit at four days.  Stand-alone accreditation to testing, programming, and repackaging are not ready </w:t>
      </w:r>
      <w:r>
        <w:t xml:space="preserve">as </w:t>
      </w:r>
      <w:r w:rsidRPr="002F2197">
        <w:t>stand-alone audit</w:t>
      </w:r>
      <w:r>
        <w:t>s</w:t>
      </w:r>
      <w:r w:rsidRPr="002F2197">
        <w:t xml:space="preserve"> </w:t>
      </w:r>
      <w:proofErr w:type="gramStart"/>
      <w:r w:rsidRPr="002F2197">
        <w:t>at this time</w:t>
      </w:r>
      <w:proofErr w:type="gramEnd"/>
      <w:r w:rsidRPr="002F2197">
        <w:t>.</w:t>
      </w:r>
    </w:p>
    <w:p w14:paraId="58DFFB3F" w14:textId="54BF7167" w:rsidR="002F2197" w:rsidRDefault="002F2197" w:rsidP="002F2197">
      <w:pPr>
        <w:pStyle w:val="ActionItem"/>
      </w:pPr>
      <w:r>
        <w:t>ACTION ITEM:  PRI to update s-frm-16 per the recommendation of the Task Group.  (Due Date: 31-Dec-2016)</w:t>
      </w:r>
    </w:p>
    <w:p w14:paraId="54B32053" w14:textId="7C833EDC" w:rsidR="002F2197" w:rsidRPr="002F2197" w:rsidRDefault="002F2197" w:rsidP="002F2197">
      <w:pPr>
        <w:pStyle w:val="ActionItem"/>
      </w:pPr>
      <w:r>
        <w:t xml:space="preserve">ACTION ITEM: Doug </w:t>
      </w:r>
      <w:proofErr w:type="spellStart"/>
      <w:r>
        <w:t>Schueller</w:t>
      </w:r>
      <w:proofErr w:type="spellEnd"/>
      <w:r>
        <w:t xml:space="preserve"> to prepare presentation concerning APQP for February 2017 Nadcap </w:t>
      </w:r>
      <w:r w:rsidR="00732333">
        <w:t>M</w:t>
      </w:r>
      <w:r>
        <w:t>eeting. (Due Date: 20-Feb-2017)</w:t>
      </w:r>
    </w:p>
    <w:p w14:paraId="4607AD91" w14:textId="3EC6FD0B" w:rsidR="00E4193D" w:rsidRDefault="00E4193D" w:rsidP="00E4193D">
      <w:pPr>
        <w:pStyle w:val="Heading1"/>
      </w:pPr>
      <w:r>
        <w:t>meeting closure items</w:t>
      </w:r>
      <w:r w:rsidR="00B07F19">
        <w:t>– open</w:t>
      </w:r>
    </w:p>
    <w:p w14:paraId="0CF0A3FE" w14:textId="616B5054" w:rsidR="00E4193D" w:rsidRDefault="00E4193D" w:rsidP="00E4193D">
      <w:pPr>
        <w:pStyle w:val="Heading2"/>
      </w:pPr>
      <w:r>
        <w:t>Future Working Session Topics</w:t>
      </w:r>
    </w:p>
    <w:p w14:paraId="6CF587D8" w14:textId="520F6AB8" w:rsidR="009B7E77" w:rsidRPr="009B7E77" w:rsidRDefault="009B7E77" w:rsidP="009B7E77">
      <w:pPr>
        <w:pStyle w:val="Body"/>
      </w:pPr>
      <w:r w:rsidRPr="009B7E77">
        <w:t xml:space="preserve">Common </w:t>
      </w:r>
      <w:r w:rsidR="00732333">
        <w:t>E</w:t>
      </w:r>
      <w:r w:rsidRPr="009B7E77">
        <w:t>lectronics NCRs written at subscribers/suppliers.</w:t>
      </w:r>
    </w:p>
    <w:p w14:paraId="663EBCB3" w14:textId="226967CD" w:rsidR="00E4193D" w:rsidRDefault="00E4193D" w:rsidP="00E4193D">
      <w:pPr>
        <w:pStyle w:val="Heading2"/>
      </w:pPr>
      <w:r>
        <w:t>Review Priority List</w:t>
      </w:r>
    </w:p>
    <w:p w14:paraId="40BFE08A" w14:textId="44B5ACCE" w:rsidR="009B7E77" w:rsidRPr="009B7E77" w:rsidRDefault="009B7E77" w:rsidP="009B7E77">
      <w:pPr>
        <w:pStyle w:val="Body"/>
      </w:pPr>
      <w:r w:rsidRPr="009B7E77">
        <w:t xml:space="preserve">Project priority list was updated by the Task </w:t>
      </w:r>
      <w:r>
        <w:t xml:space="preserve">Group.  Update posted on </w:t>
      </w:r>
      <w:proofErr w:type="spellStart"/>
      <w:r>
        <w:t>eAuditN</w:t>
      </w:r>
      <w:r w:rsidRPr="009B7E77">
        <w:t>et</w:t>
      </w:r>
      <w:proofErr w:type="spellEnd"/>
      <w:r w:rsidR="00DE2B40">
        <w:t>.</w:t>
      </w:r>
    </w:p>
    <w:p w14:paraId="3485DE4E" w14:textId="13F1C66A" w:rsidR="00E4193D" w:rsidRDefault="00E4193D" w:rsidP="00E4193D">
      <w:pPr>
        <w:pStyle w:val="Heading2"/>
      </w:pPr>
      <w:r>
        <w:t>Review Membership</w:t>
      </w:r>
    </w:p>
    <w:p w14:paraId="3D559691" w14:textId="5A9E5DEB" w:rsidR="009B7E77" w:rsidRPr="009B7E77" w:rsidRDefault="009B7E77" w:rsidP="009B7E77">
      <w:pPr>
        <w:pStyle w:val="Body"/>
      </w:pPr>
      <w:r>
        <w:t xml:space="preserve">Notes in previous section of minutes.  The </w:t>
      </w:r>
      <w:r w:rsidRPr="009B7E77">
        <w:t xml:space="preserve">Task Group </w:t>
      </w:r>
      <w:r>
        <w:t>will review membership again during the February 2017 meeting.</w:t>
      </w:r>
    </w:p>
    <w:p w14:paraId="6A1B97B8" w14:textId="3EF250B3" w:rsidR="00E4193D" w:rsidRDefault="00E4193D" w:rsidP="00E4193D">
      <w:pPr>
        <w:pStyle w:val="Heading2"/>
      </w:pPr>
      <w:r>
        <w:t>Review Sub-team list</w:t>
      </w:r>
    </w:p>
    <w:p w14:paraId="710EB5F8" w14:textId="6A2013AA" w:rsidR="009B7E77" w:rsidRPr="009B7E77" w:rsidRDefault="009B7E77" w:rsidP="009B7E77">
      <w:pPr>
        <w:pStyle w:val="Body"/>
      </w:pPr>
      <w:r>
        <w:t xml:space="preserve">Updates made as required.  See revised sub-team list posted in </w:t>
      </w:r>
      <w:proofErr w:type="spellStart"/>
      <w:r>
        <w:t>eAuditNet</w:t>
      </w:r>
      <w:proofErr w:type="spellEnd"/>
      <w:r>
        <w:t>.</w:t>
      </w:r>
    </w:p>
    <w:p w14:paraId="3E3C5104" w14:textId="1A2AAF64" w:rsidR="00E4193D" w:rsidRDefault="00E4193D" w:rsidP="00E4193D">
      <w:pPr>
        <w:pStyle w:val="Heading2"/>
      </w:pPr>
      <w:r>
        <w:t>RAIL Review</w:t>
      </w:r>
    </w:p>
    <w:p w14:paraId="72974905" w14:textId="535B394E" w:rsidR="009B7E77" w:rsidRPr="009B7E77" w:rsidRDefault="009B7E77" w:rsidP="009B7E77">
      <w:pPr>
        <w:pStyle w:val="Body"/>
      </w:pPr>
      <w:r>
        <w:t>RAIL was updated as necessary</w:t>
      </w:r>
      <w:r w:rsidRPr="009B7E77">
        <w:t>.</w:t>
      </w:r>
      <w:r>
        <w:t xml:space="preserve">  A revised RAIL will be posted to </w:t>
      </w:r>
      <w:proofErr w:type="spellStart"/>
      <w:r>
        <w:t>eAuditNet</w:t>
      </w:r>
      <w:proofErr w:type="spellEnd"/>
      <w:r>
        <w:t xml:space="preserve"> after the meeting.</w:t>
      </w:r>
    </w:p>
    <w:p w14:paraId="195D3E9F" w14:textId="0A5438D4" w:rsidR="00E4193D" w:rsidRDefault="00E4193D" w:rsidP="00E4193D">
      <w:pPr>
        <w:pStyle w:val="Heading2"/>
      </w:pPr>
      <w:r>
        <w:t>Review Action Items</w:t>
      </w:r>
    </w:p>
    <w:p w14:paraId="5C14C912" w14:textId="38ED55AF" w:rsidR="009B7E77" w:rsidRPr="009B7E77" w:rsidRDefault="009B7E77" w:rsidP="009B7E77">
      <w:pPr>
        <w:pStyle w:val="Body"/>
      </w:pPr>
      <w:r w:rsidRPr="009B7E77">
        <w:t>Action items reviewed for accuracy with the Task Group.</w:t>
      </w:r>
    </w:p>
    <w:p w14:paraId="067B8D66" w14:textId="561B7A1E" w:rsidR="00E4193D" w:rsidRPr="00E4193D" w:rsidRDefault="00E4193D" w:rsidP="00E4193D">
      <w:pPr>
        <w:pStyle w:val="Heading2"/>
      </w:pPr>
      <w:r>
        <w:t>Set Agenda for Next Meeting</w:t>
      </w:r>
    </w:p>
    <w:p w14:paraId="41FCCA66" w14:textId="347DE4CB" w:rsidR="00766538" w:rsidRDefault="009B7E77" w:rsidP="00766538">
      <w:pPr>
        <w:pStyle w:val="Body"/>
      </w:pPr>
      <w:r w:rsidRPr="009B7E77">
        <w:t xml:space="preserve">Agenda set for the </w:t>
      </w:r>
      <w:r w:rsidR="00732333">
        <w:t xml:space="preserve">February 2017 </w:t>
      </w:r>
      <w:r w:rsidRPr="009B7E77">
        <w:t>New Orleans</w:t>
      </w:r>
      <w:r w:rsidR="00732333">
        <w:t>, Louisiana</w:t>
      </w:r>
      <w:r w:rsidRPr="009B7E77">
        <w:t xml:space="preserve"> </w:t>
      </w:r>
      <w:r w:rsidR="00732333">
        <w:t>Nadcap M</w:t>
      </w:r>
      <w:r w:rsidRPr="009B7E77">
        <w:t>eeting and will be posted on the PRI webpage.</w:t>
      </w:r>
    </w:p>
    <w:p w14:paraId="5A6362AE" w14:textId="5CBF1251" w:rsidR="009B7E77" w:rsidRPr="009B7E77" w:rsidRDefault="009B7E77" w:rsidP="00720C85">
      <w:pPr>
        <w:pStyle w:val="ActionItem"/>
      </w:pPr>
      <w:r w:rsidRPr="009B7E77">
        <w:t>ACTION ITEM: Scott Meyer to work with PRI to complete and post ETG supplier welcome package. (RAIL 242/23) (Due Date: 31-Dec-2016)</w:t>
      </w:r>
    </w:p>
    <w:p w14:paraId="3C97FAB5" w14:textId="77777777" w:rsidR="009B7E77" w:rsidRDefault="009B7E77" w:rsidP="009B7E77">
      <w:r>
        <w:t>ADJOURNMENT – 27-Oct-2016 – Meeting was adjourned at 3:18 p.m.</w:t>
      </w:r>
    </w:p>
    <w:p w14:paraId="13584A4C" w14:textId="37F55826" w:rsidR="009B7E77" w:rsidRDefault="009B7E77" w:rsidP="009B7E77">
      <w:r>
        <w:t xml:space="preserve">Minutes Prepared by: Scott C. Meyer, </w:t>
      </w:r>
      <w:hyperlink r:id="rId11" w:history="1">
        <w:r w:rsidRPr="0009018E">
          <w:rPr>
            <w:rStyle w:val="Hyperlink"/>
          </w:rPr>
          <w:t>scott.meyer@utas.utc.com</w:t>
        </w:r>
      </w:hyperlink>
    </w:p>
    <w:p w14:paraId="267D89DF" w14:textId="5A438631" w:rsidR="00FA0B5E" w:rsidRDefault="00FA0B5E" w:rsidP="00FA0B5E"/>
    <w:p w14:paraId="6B7FDE37" w14:textId="237CCAB6" w:rsidR="009B7E77" w:rsidRDefault="009B7E77" w:rsidP="00FA0B5E"/>
    <w:p w14:paraId="05795CCC" w14:textId="77777777" w:rsidR="009B7E77" w:rsidRDefault="009B7E77" w:rsidP="00FA0B5E"/>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14:paraId="267D89E8" w14:textId="77777777" w:rsidTr="00B07504">
        <w:tc>
          <w:tcPr>
            <w:tcW w:w="9576" w:type="dxa"/>
            <w:gridSpan w:val="3"/>
            <w:shd w:val="clear" w:color="auto" w:fill="F2F2F2" w:themeFill="background1" w:themeFillShade="F2"/>
          </w:tcPr>
          <w:p w14:paraId="267D89E0" w14:textId="77777777" w:rsidR="00272E48" w:rsidRDefault="00272E48" w:rsidP="004E7B29"/>
          <w:p w14:paraId="267D89E1" w14:textId="77777777" w:rsidR="00272E48" w:rsidRDefault="00272E48" w:rsidP="00272E48">
            <w:pPr>
              <w:jc w:val="center"/>
            </w:pPr>
            <w:r w:rsidRPr="00272E48">
              <w:t>***** For PRI Staff use only: ******</w:t>
            </w:r>
          </w:p>
          <w:p w14:paraId="267D89E2" w14:textId="77777777" w:rsidR="00272E48" w:rsidRDefault="00272E48" w:rsidP="004E7B29"/>
          <w:p w14:paraId="267D89E3" w14:textId="77777777" w:rsidR="00272E48" w:rsidRDefault="00272E48" w:rsidP="004E7B29">
            <w:r w:rsidRPr="00272E48">
              <w:lastRenderedPageBreak/>
              <w:t>Are procedural/form changes required based on changes/actions approved during this meeting? (select one)</w:t>
            </w:r>
          </w:p>
          <w:p w14:paraId="267D89E4" w14:textId="77777777" w:rsidR="00272E48" w:rsidRDefault="00272E48" w:rsidP="004E7B29"/>
          <w:p w14:paraId="267D89E5" w14:textId="4A9B6094" w:rsidR="00272E48" w:rsidRDefault="00272E48" w:rsidP="00866C8D">
            <w:pPr>
              <w:jc w:val="center"/>
            </w:pPr>
            <w:r w:rsidRPr="00272E48">
              <w:t xml:space="preserve">YES*  </w:t>
            </w:r>
            <w:sdt>
              <w:sdtPr>
                <w:id w:val="-1222288452"/>
                <w14:checkbox>
                  <w14:checked w14:val="1"/>
                  <w14:checkedState w14:val="2612" w14:font="MS Gothic"/>
                  <w14:uncheckedState w14:val="2610" w14:font="MS Gothic"/>
                </w14:checkbox>
              </w:sdtPr>
              <w:sdtEndPr/>
              <w:sdtContent>
                <w:r w:rsidR="00DE2B40">
                  <w:rPr>
                    <w:rFonts w:ascii="MS Gothic" w:eastAsia="MS Gothic" w:hAnsi="MS Gothic" w:hint="eastAsia"/>
                  </w:rPr>
                  <w:t>☒</w:t>
                </w:r>
              </w:sdtContent>
            </w:sdt>
            <w:r w:rsidR="00866C8D">
              <w:t xml:space="preserve">   </w:t>
            </w:r>
            <w:r w:rsidRPr="00272E48">
              <w:t xml:space="preserve">NO  </w:t>
            </w:r>
            <w:sdt>
              <w:sdtPr>
                <w:id w:val="-1111664188"/>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p>
          <w:p w14:paraId="267D89E6" w14:textId="77777777" w:rsidR="00272E48" w:rsidRDefault="00272E48" w:rsidP="004E7B29"/>
          <w:p w14:paraId="267D89E7" w14:textId="77777777" w:rsidR="00272E48" w:rsidRPr="00272E48" w:rsidRDefault="00272E48" w:rsidP="004E7B29">
            <w:r w:rsidRPr="00272E48">
              <w:t>*If yes, the following information is required:</w:t>
            </w:r>
          </w:p>
        </w:tc>
      </w:tr>
      <w:tr w:rsidR="00272E48" w:rsidRPr="00272E48" w14:paraId="267D89EC" w14:textId="77777777" w:rsidTr="00272E48">
        <w:tc>
          <w:tcPr>
            <w:tcW w:w="3192" w:type="dxa"/>
            <w:shd w:val="clear" w:color="auto" w:fill="F2F2F2" w:themeFill="background1" w:themeFillShade="F2"/>
          </w:tcPr>
          <w:p w14:paraId="267D89E9" w14:textId="77777777" w:rsidR="00272E48" w:rsidRPr="00272E48" w:rsidRDefault="00272E48" w:rsidP="004E7B29">
            <w:r w:rsidRPr="00272E48">
              <w:lastRenderedPageBreak/>
              <w:t>Documents requiring revision:</w:t>
            </w:r>
          </w:p>
        </w:tc>
        <w:tc>
          <w:tcPr>
            <w:tcW w:w="3192" w:type="dxa"/>
            <w:shd w:val="clear" w:color="auto" w:fill="F2F2F2" w:themeFill="background1" w:themeFillShade="F2"/>
          </w:tcPr>
          <w:p w14:paraId="267D89EA" w14:textId="77777777" w:rsidR="00272E48" w:rsidRPr="00272E48" w:rsidRDefault="00272E48" w:rsidP="004E7B29">
            <w:r w:rsidRPr="00272E48">
              <w:t>Who is responsible:</w:t>
            </w:r>
          </w:p>
        </w:tc>
        <w:tc>
          <w:tcPr>
            <w:tcW w:w="3192" w:type="dxa"/>
            <w:shd w:val="clear" w:color="auto" w:fill="F2F2F2" w:themeFill="background1" w:themeFillShade="F2"/>
          </w:tcPr>
          <w:p w14:paraId="267D89EB" w14:textId="77777777" w:rsidR="00272E48" w:rsidRPr="00272E48" w:rsidRDefault="00272E48" w:rsidP="004E7B29">
            <w:r w:rsidRPr="00272E48">
              <w:t>Due date:</w:t>
            </w:r>
          </w:p>
        </w:tc>
      </w:tr>
      <w:tr w:rsidR="00272E48" w:rsidRPr="00272E48" w14:paraId="267D89F0" w14:textId="77777777" w:rsidTr="00272E48">
        <w:tc>
          <w:tcPr>
            <w:tcW w:w="3192" w:type="dxa"/>
            <w:shd w:val="clear" w:color="auto" w:fill="F2F2F2" w:themeFill="background1" w:themeFillShade="F2"/>
          </w:tcPr>
          <w:p w14:paraId="267D89ED" w14:textId="0DBBEA89" w:rsidR="00272E48" w:rsidRPr="00272E48" w:rsidRDefault="009B7E77" w:rsidP="004E7B29">
            <w:r>
              <w:t>OP 1114 Appendix ETG</w:t>
            </w:r>
          </w:p>
        </w:tc>
        <w:tc>
          <w:tcPr>
            <w:tcW w:w="3192" w:type="dxa"/>
            <w:shd w:val="clear" w:color="auto" w:fill="F2F2F2" w:themeFill="background1" w:themeFillShade="F2"/>
          </w:tcPr>
          <w:p w14:paraId="267D89EE" w14:textId="39111067" w:rsidR="00272E48" w:rsidRPr="00272E48" w:rsidRDefault="009B7E77" w:rsidP="004E7B29">
            <w:r>
              <w:t>PRI Staff</w:t>
            </w:r>
          </w:p>
        </w:tc>
        <w:tc>
          <w:tcPr>
            <w:tcW w:w="3192" w:type="dxa"/>
            <w:shd w:val="clear" w:color="auto" w:fill="F2F2F2" w:themeFill="background1" w:themeFillShade="F2"/>
          </w:tcPr>
          <w:p w14:paraId="267D89EF" w14:textId="681FF80F" w:rsidR="00272E48" w:rsidRPr="00272E48" w:rsidRDefault="009B7E77" w:rsidP="004E7B29">
            <w:r>
              <w:t>30-Nov-2016</w:t>
            </w:r>
          </w:p>
        </w:tc>
      </w:tr>
      <w:tr w:rsidR="00272E48" w:rsidRPr="00272E48" w14:paraId="267D89F4" w14:textId="77777777" w:rsidTr="00272E48">
        <w:tc>
          <w:tcPr>
            <w:tcW w:w="3192" w:type="dxa"/>
            <w:shd w:val="clear" w:color="auto" w:fill="F2F2F2" w:themeFill="background1" w:themeFillShade="F2"/>
          </w:tcPr>
          <w:p w14:paraId="267D89F1" w14:textId="3E6C35B5" w:rsidR="00272E48" w:rsidRPr="00272E48" w:rsidRDefault="009B7E77" w:rsidP="004E7B29">
            <w:r>
              <w:t>OP 1116 Appendix ETG</w:t>
            </w:r>
          </w:p>
        </w:tc>
        <w:tc>
          <w:tcPr>
            <w:tcW w:w="3192" w:type="dxa"/>
            <w:shd w:val="clear" w:color="auto" w:fill="F2F2F2" w:themeFill="background1" w:themeFillShade="F2"/>
          </w:tcPr>
          <w:p w14:paraId="267D89F2" w14:textId="22FB6D40" w:rsidR="00272E48" w:rsidRPr="00272E48" w:rsidRDefault="009B7E77" w:rsidP="004E7B29">
            <w:r>
              <w:t>PRI Staff</w:t>
            </w:r>
          </w:p>
        </w:tc>
        <w:tc>
          <w:tcPr>
            <w:tcW w:w="3192" w:type="dxa"/>
            <w:shd w:val="clear" w:color="auto" w:fill="F2F2F2" w:themeFill="background1" w:themeFillShade="F2"/>
          </w:tcPr>
          <w:p w14:paraId="267D89F3" w14:textId="26C67C70" w:rsidR="00272E48" w:rsidRPr="00272E48" w:rsidRDefault="009B7E77" w:rsidP="004E7B29">
            <w:r w:rsidRPr="009B7E77">
              <w:t>30-Nov-2016</w:t>
            </w:r>
          </w:p>
        </w:tc>
      </w:tr>
    </w:tbl>
    <w:p w14:paraId="267D89F5" w14:textId="77777777" w:rsidR="00FA0B5E" w:rsidRDefault="00FA0B5E" w:rsidP="00FA0B5E"/>
    <w:sectPr w:rsidR="00FA0B5E" w:rsidSect="00866C8D">
      <w:headerReference w:type="even" r:id="rId12"/>
      <w:headerReference w:type="default" r:id="rId13"/>
      <w:head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5DE4F" w14:textId="77777777" w:rsidR="00690378" w:rsidRDefault="00690378" w:rsidP="00FC3F1E">
      <w:pPr>
        <w:spacing w:after="0"/>
      </w:pPr>
      <w:r>
        <w:separator/>
      </w:r>
    </w:p>
  </w:endnote>
  <w:endnote w:type="continuationSeparator" w:id="0">
    <w:p w14:paraId="69CF4479" w14:textId="77777777" w:rsidR="00690378" w:rsidRDefault="00690378"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71BC8" w14:textId="77777777" w:rsidR="00690378" w:rsidRDefault="00690378" w:rsidP="00FC3F1E">
      <w:pPr>
        <w:spacing w:after="0"/>
      </w:pPr>
      <w:r>
        <w:separator/>
      </w:r>
    </w:p>
  </w:footnote>
  <w:footnote w:type="continuationSeparator" w:id="0">
    <w:p w14:paraId="58183EF4" w14:textId="77777777" w:rsidR="00690378" w:rsidRDefault="00690378"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2" w14:textId="77777777" w:rsidR="00284747" w:rsidRDefault="00306D0A">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7899" o:spid="_x0000_s2050" type="#_x0000_t136" style="position:absolute;left:0;text-align:left;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3" w14:textId="7759CA78" w:rsidR="00FC3F1E" w:rsidRDefault="00A01EEA">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306D0A">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7900"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r w:rsidR="001A145E">
      <w:t>ELECTRONICS</w:t>
    </w:r>
  </w:p>
  <w:p w14:paraId="267D8A04" w14:textId="667D0C7B" w:rsidR="00FC3F1E" w:rsidRDefault="001A145E">
    <w:pPr>
      <w:pStyle w:val="Header"/>
    </w:pPr>
    <w:r>
      <w:t>OCTOBER 2016</w:t>
    </w:r>
  </w:p>
  <w:p w14:paraId="267D8A05" w14:textId="313C4F68" w:rsidR="00FC3F1E" w:rsidRDefault="001A145E">
    <w:pPr>
      <w:pStyle w:val="Header"/>
    </w:pPr>
    <w:r>
      <w:t>CONFIRMED</w:t>
    </w:r>
  </w:p>
  <w:p w14:paraId="267D8A06" w14:textId="77777777" w:rsidR="00BE288D" w:rsidRDefault="00BE2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7" w14:textId="77777777" w:rsidR="00284747" w:rsidRDefault="00306D0A">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57898" o:spid="_x0000_s2049" type="#_x0000_t136" style="position:absolute;left:0;text-align:left;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F7711"/>
    <w:multiLevelType w:val="multilevel"/>
    <w:tmpl w:val="A1CA3A18"/>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1"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021222"/>
    <w:rsid w:val="000419B1"/>
    <w:rsid w:val="00072F3D"/>
    <w:rsid w:val="000D0B67"/>
    <w:rsid w:val="00111291"/>
    <w:rsid w:val="00114717"/>
    <w:rsid w:val="0012238B"/>
    <w:rsid w:val="00174063"/>
    <w:rsid w:val="001A1215"/>
    <w:rsid w:val="001A145E"/>
    <w:rsid w:val="001C07AE"/>
    <w:rsid w:val="001E3BDC"/>
    <w:rsid w:val="001F06C5"/>
    <w:rsid w:val="002266B7"/>
    <w:rsid w:val="00231248"/>
    <w:rsid w:val="002529C7"/>
    <w:rsid w:val="00272E48"/>
    <w:rsid w:val="00284747"/>
    <w:rsid w:val="002F2197"/>
    <w:rsid w:val="00306D0A"/>
    <w:rsid w:val="00307142"/>
    <w:rsid w:val="00312C0E"/>
    <w:rsid w:val="003B5FCD"/>
    <w:rsid w:val="003C286C"/>
    <w:rsid w:val="003F711A"/>
    <w:rsid w:val="00417309"/>
    <w:rsid w:val="004206CE"/>
    <w:rsid w:val="00422BB3"/>
    <w:rsid w:val="00477B0C"/>
    <w:rsid w:val="004A0807"/>
    <w:rsid w:val="004D2E91"/>
    <w:rsid w:val="004D675F"/>
    <w:rsid w:val="004F1E64"/>
    <w:rsid w:val="00506EE2"/>
    <w:rsid w:val="00516CBC"/>
    <w:rsid w:val="00605123"/>
    <w:rsid w:val="006227ED"/>
    <w:rsid w:val="00690378"/>
    <w:rsid w:val="00693DCF"/>
    <w:rsid w:val="00720C85"/>
    <w:rsid w:val="0072739C"/>
    <w:rsid w:val="00732333"/>
    <w:rsid w:val="00733E8A"/>
    <w:rsid w:val="00766538"/>
    <w:rsid w:val="007843D9"/>
    <w:rsid w:val="007D7046"/>
    <w:rsid w:val="007F7E08"/>
    <w:rsid w:val="00835549"/>
    <w:rsid w:val="008464F3"/>
    <w:rsid w:val="00866C8D"/>
    <w:rsid w:val="008846CC"/>
    <w:rsid w:val="00981F8A"/>
    <w:rsid w:val="00992272"/>
    <w:rsid w:val="009B7E77"/>
    <w:rsid w:val="009E70EB"/>
    <w:rsid w:val="009F7595"/>
    <w:rsid w:val="00A01EEA"/>
    <w:rsid w:val="00A345F8"/>
    <w:rsid w:val="00A74036"/>
    <w:rsid w:val="00B07F19"/>
    <w:rsid w:val="00B12E94"/>
    <w:rsid w:val="00B40532"/>
    <w:rsid w:val="00B453DE"/>
    <w:rsid w:val="00B61F62"/>
    <w:rsid w:val="00B940A5"/>
    <w:rsid w:val="00BE288D"/>
    <w:rsid w:val="00BE709F"/>
    <w:rsid w:val="00C10ADD"/>
    <w:rsid w:val="00C47532"/>
    <w:rsid w:val="00C576C6"/>
    <w:rsid w:val="00C7478F"/>
    <w:rsid w:val="00C86C95"/>
    <w:rsid w:val="00CA75F6"/>
    <w:rsid w:val="00CC4718"/>
    <w:rsid w:val="00CF6A99"/>
    <w:rsid w:val="00CF7FFA"/>
    <w:rsid w:val="00DE2B40"/>
    <w:rsid w:val="00DF00D7"/>
    <w:rsid w:val="00E13AE7"/>
    <w:rsid w:val="00E4193D"/>
    <w:rsid w:val="00E435D6"/>
    <w:rsid w:val="00E51455"/>
    <w:rsid w:val="00F0049A"/>
    <w:rsid w:val="00F44C9E"/>
    <w:rsid w:val="00F74A76"/>
    <w:rsid w:val="00F76453"/>
    <w:rsid w:val="00F855D8"/>
    <w:rsid w:val="00FA0B5E"/>
    <w:rsid w:val="00FB47BB"/>
    <w:rsid w:val="00FC3F1E"/>
    <w:rsid w:val="00FD11D5"/>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15:docId w15:val="{A699962D-90DF-4798-A2C2-62166463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uiPriority w:val="9"/>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6227ED"/>
    <w:pPr>
      <w:ind w:left="720"/>
      <w:contextualSpacing/>
    </w:pPr>
  </w:style>
  <w:style w:type="character" w:styleId="CommentReference">
    <w:name w:val="annotation reference"/>
    <w:basedOn w:val="DefaultParagraphFont"/>
    <w:uiPriority w:val="99"/>
    <w:semiHidden/>
    <w:unhideWhenUsed/>
    <w:rsid w:val="002F2197"/>
    <w:rPr>
      <w:sz w:val="16"/>
      <w:szCs w:val="16"/>
    </w:rPr>
  </w:style>
  <w:style w:type="paragraph" w:styleId="CommentText">
    <w:name w:val="annotation text"/>
    <w:basedOn w:val="Normal"/>
    <w:link w:val="CommentTextChar"/>
    <w:uiPriority w:val="99"/>
    <w:semiHidden/>
    <w:unhideWhenUsed/>
    <w:rsid w:val="002F2197"/>
    <w:rPr>
      <w:szCs w:val="20"/>
    </w:rPr>
  </w:style>
  <w:style w:type="character" w:customStyle="1" w:styleId="CommentTextChar">
    <w:name w:val="Comment Text Char"/>
    <w:basedOn w:val="DefaultParagraphFont"/>
    <w:link w:val="CommentText"/>
    <w:uiPriority w:val="99"/>
    <w:semiHidden/>
    <w:rsid w:val="002F21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F2197"/>
    <w:rPr>
      <w:b/>
      <w:bCs/>
    </w:rPr>
  </w:style>
  <w:style w:type="character" w:customStyle="1" w:styleId="CommentSubjectChar">
    <w:name w:val="Comment Subject Char"/>
    <w:basedOn w:val="CommentTextChar"/>
    <w:link w:val="CommentSubject"/>
    <w:uiPriority w:val="99"/>
    <w:semiHidden/>
    <w:rsid w:val="002F219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19863">
      <w:bodyDiv w:val="1"/>
      <w:marLeft w:val="0"/>
      <w:marRight w:val="0"/>
      <w:marTop w:val="0"/>
      <w:marBottom w:val="0"/>
      <w:divBdr>
        <w:top w:val="none" w:sz="0" w:space="0" w:color="auto"/>
        <w:left w:val="none" w:sz="0" w:space="0" w:color="auto"/>
        <w:bottom w:val="none" w:sz="0" w:space="0" w:color="auto"/>
        <w:right w:val="none" w:sz="0" w:space="0" w:color="auto"/>
      </w:divBdr>
    </w:div>
    <w:div w:id="1510217400">
      <w:bodyDiv w:val="1"/>
      <w:marLeft w:val="0"/>
      <w:marRight w:val="0"/>
      <w:marTop w:val="0"/>
      <w:marBottom w:val="0"/>
      <w:divBdr>
        <w:top w:val="none" w:sz="0" w:space="0" w:color="auto"/>
        <w:left w:val="none" w:sz="0" w:space="0" w:color="auto"/>
        <w:bottom w:val="none" w:sz="0" w:space="0" w:color="auto"/>
        <w:right w:val="none" w:sz="0" w:space="0" w:color="auto"/>
      </w:divBdr>
    </w:div>
    <w:div w:id="20640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tt.meyer@utas.ut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2.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44CB44-C53A-450D-B0EE-522C491A001A}">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52ECC15-0A55-41DB-8418-BCF70CE9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keywords>Non Technical</cp:keywords>
  <cp:lastModifiedBy>Susette Ellis</cp:lastModifiedBy>
  <cp:revision>3</cp:revision>
  <dcterms:created xsi:type="dcterms:W3CDTF">2017-03-02T20:16:00Z</dcterms:created>
  <dcterms:modified xsi:type="dcterms:W3CDTF">2017-03-02T20:17:00Z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8b5657b5-2658-4ee3-9b30-88235ede9fd2</vt:lpwstr>
  </property>
  <property fmtid="{D5CDD505-2E9C-101B-9397-08002B2CF9AE}" pid="3" name="UTCTechnicalData">
    <vt:lpwstr>No</vt:lpwstr>
  </property>
  <property fmtid="{D5CDD505-2E9C-101B-9397-08002B2CF9AE}" pid="4" name="UTCTechnicalDataKeyword">
    <vt:lpwstr>Non Technical</vt:lpwstr>
  </property>
</Properties>
</file>