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0D" w:rsidRDefault="009A408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8018780</wp:posOffset>
            </wp:positionH>
            <wp:positionV relativeFrom="page">
              <wp:posOffset>370205</wp:posOffset>
            </wp:positionV>
            <wp:extent cx="1527810" cy="2235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0D" w:rsidRDefault="009A4088">
      <w:pPr>
        <w:pStyle w:val="BodyText"/>
        <w:tabs>
          <w:tab w:val="left" w:pos="8492"/>
        </w:tabs>
        <w:spacing w:line="200" w:lineRule="atLeast"/>
      </w:pPr>
      <w:r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7953153</wp:posOffset>
            </wp:positionH>
            <wp:positionV relativeFrom="page">
              <wp:posOffset>656782</wp:posOffset>
            </wp:positionV>
            <wp:extent cx="1583218" cy="56724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66" cy="59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A5">
        <w:rPr>
          <w:noProof/>
        </w:rPr>
        <w:drawing>
          <wp:inline distT="0" distB="0" distL="0" distR="0">
            <wp:extent cx="2249516" cy="88391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16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8A5">
        <w:tab/>
      </w:r>
      <w:r w:rsidR="003828A5">
        <w:rPr>
          <w:noProof/>
          <w:position w:val="73"/>
        </w:rPr>
        <w:drawing>
          <wp:inline distT="0" distB="0" distL="0" distR="0">
            <wp:extent cx="2439167" cy="2952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167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3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8460"/>
      </w:tblGrid>
      <w:tr w:rsidR="006A2B0D" w:rsidTr="0015486A">
        <w:trPr>
          <w:trHeight w:hRule="exact" w:val="362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Default="003828A5">
            <w:pPr>
              <w:pStyle w:val="TableParagraph"/>
              <w:spacing w:line="349" w:lineRule="exact"/>
              <w:ind w:left="-1" w:right="1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/>
                <w:b/>
                <w:spacing w:val="-2"/>
                <w:sz w:val="30"/>
              </w:rPr>
              <w:t>FAQ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Default="003828A5">
            <w:pPr>
              <w:pStyle w:val="TableParagraph"/>
              <w:spacing w:line="349" w:lineRule="exact"/>
              <w:ind w:right="9"/>
              <w:jc w:val="center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/>
                <w:b/>
                <w:spacing w:val="-2"/>
                <w:sz w:val="30"/>
              </w:rPr>
              <w:t>Answer</w:t>
            </w:r>
          </w:p>
        </w:tc>
      </w:tr>
      <w:tr w:rsidR="006A2B0D" w:rsidTr="0015486A">
        <w:trPr>
          <w:trHeight w:hRule="exact" w:val="1188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Can suppliers facing an audit find information on common </w:t>
            </w:r>
            <w:r>
              <w:rPr>
                <w:rFonts w:ascii="Cambria"/>
                <w:sz w:val="30"/>
              </w:rPr>
              <w:t>issues</w:t>
            </w:r>
            <w:r w:rsidRPr="0015486A">
              <w:rPr>
                <w:rFonts w:ascii="Cambria"/>
                <w:sz w:val="30"/>
              </w:rPr>
              <w:t xml:space="preserve"> found during audits?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Most task groups publish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list of top NCR's written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audits to </w:t>
            </w:r>
            <w:r>
              <w:rPr>
                <w:rFonts w:ascii="Cambria"/>
                <w:sz w:val="30"/>
              </w:rPr>
              <w:t>help</w:t>
            </w:r>
            <w:r w:rsidRPr="0015486A">
              <w:rPr>
                <w:rFonts w:ascii="Cambria"/>
                <w:sz w:val="30"/>
              </w:rPr>
              <w:t xml:space="preserve"> suppliers learn from past audit. These are posted on eAuditNet under Public Documents.</w:t>
            </w:r>
          </w:p>
        </w:tc>
      </w:tr>
      <w:tr w:rsidR="006A2B0D" w:rsidTr="0015486A">
        <w:trPr>
          <w:trHeight w:hRule="exact" w:val="2250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>
              <w:rPr>
                <w:rFonts w:ascii="Cambria"/>
                <w:sz w:val="30"/>
              </w:rPr>
              <w:t>Do</w:t>
            </w:r>
            <w:r w:rsidRPr="0015486A">
              <w:rPr>
                <w:rFonts w:ascii="Cambria"/>
                <w:sz w:val="30"/>
              </w:rPr>
              <w:t xml:space="preserve"> auditors and/or staff engineers </w:t>
            </w:r>
            <w:r>
              <w:rPr>
                <w:rFonts w:ascii="Cambria"/>
                <w:sz w:val="30"/>
              </w:rPr>
              <w:t>get</w:t>
            </w:r>
            <w:r w:rsidRPr="0015486A">
              <w:rPr>
                <w:rFonts w:ascii="Cambria"/>
                <w:sz w:val="30"/>
              </w:rPr>
              <w:t xml:space="preserve"> rewarded </w:t>
            </w:r>
            <w:r>
              <w:rPr>
                <w:rFonts w:ascii="Cambria"/>
                <w:sz w:val="30"/>
              </w:rPr>
              <w:t>when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supplier fails an audit?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Absolutely not. In fact,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failed audit creates more work for auditors and staff engineers than does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successful audit.</w:t>
            </w:r>
          </w:p>
          <w:p w:rsidR="006A2B0D" w:rsidRPr="0015486A" w:rsidRDefault="003828A5" w:rsidP="0015486A">
            <w:pPr>
              <w:pStyle w:val="TableParagraph"/>
              <w:spacing w:before="1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Auditors and staff engineers want suppliers to be well prepared and </w:t>
            </w:r>
            <w:r>
              <w:rPr>
                <w:rFonts w:ascii="Cambria"/>
                <w:sz w:val="30"/>
              </w:rPr>
              <w:t>have</w:t>
            </w:r>
            <w:r w:rsidRPr="0015486A">
              <w:rPr>
                <w:rFonts w:ascii="Cambria"/>
                <w:sz w:val="30"/>
              </w:rPr>
              <w:t xml:space="preserve"> successful audits, because successful audits mean </w:t>
            </w:r>
            <w:r>
              <w:rPr>
                <w:rFonts w:ascii="Cambria"/>
                <w:sz w:val="30"/>
              </w:rPr>
              <w:t>less</w:t>
            </w:r>
            <w:r w:rsidRPr="0015486A">
              <w:rPr>
                <w:rFonts w:ascii="Cambria"/>
                <w:sz w:val="30"/>
              </w:rPr>
              <w:t xml:space="preserve"> work and quicker closure for all involved (supplier, auditor, staff, task group subscribers).</w:t>
            </w:r>
          </w:p>
        </w:tc>
      </w:tr>
      <w:tr w:rsidR="006A2B0D" w:rsidTr="0015486A">
        <w:trPr>
          <w:trHeight w:hRule="exact" w:val="1890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2A30F7">
              <w:rPr>
                <w:rFonts w:ascii="Cambria"/>
                <w:sz w:val="30"/>
              </w:rPr>
              <w:t xml:space="preserve">Does the time </w:t>
            </w:r>
            <w:r>
              <w:rPr>
                <w:rFonts w:ascii="Cambria"/>
                <w:sz w:val="30"/>
              </w:rPr>
              <w:t>a</w:t>
            </w:r>
            <w:r w:rsidRPr="002A30F7">
              <w:rPr>
                <w:rFonts w:ascii="Cambria"/>
                <w:sz w:val="30"/>
              </w:rPr>
              <w:t xml:space="preserve"> supplier </w:t>
            </w:r>
            <w:r>
              <w:rPr>
                <w:rFonts w:ascii="Cambria"/>
                <w:sz w:val="30"/>
              </w:rPr>
              <w:t>spends</w:t>
            </w:r>
            <w:r w:rsidRPr="002A30F7">
              <w:rPr>
                <w:rFonts w:ascii="Cambria"/>
                <w:sz w:val="30"/>
              </w:rPr>
              <w:t xml:space="preserve"> contesting an NCR count against the allotted time, jeopardizing accreditation or merit?</w:t>
            </w:r>
            <w:bookmarkStart w:id="0" w:name="_GoBack"/>
            <w:bookmarkEnd w:id="0"/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Not </w:t>
            </w:r>
            <w:r>
              <w:rPr>
                <w:rFonts w:ascii="Cambria"/>
                <w:sz w:val="30"/>
              </w:rPr>
              <w:t>if</w:t>
            </w:r>
            <w:r w:rsidRPr="0015486A">
              <w:rPr>
                <w:rFonts w:ascii="Cambria"/>
                <w:sz w:val="30"/>
              </w:rPr>
              <w:t xml:space="preserve"> the NCR </w:t>
            </w:r>
            <w:r>
              <w:rPr>
                <w:rFonts w:ascii="Cambria"/>
                <w:sz w:val="30"/>
              </w:rPr>
              <w:t>is</w:t>
            </w:r>
            <w:r w:rsidRPr="0015486A">
              <w:rPr>
                <w:rFonts w:ascii="Cambria"/>
                <w:sz w:val="30"/>
              </w:rPr>
              <w:t xml:space="preserve"> going through the appeals process. </w:t>
            </w:r>
            <w:r>
              <w:rPr>
                <w:rFonts w:ascii="Cambria"/>
                <w:sz w:val="30"/>
              </w:rPr>
              <w:t>If</w:t>
            </w:r>
            <w:r w:rsidRPr="0015486A">
              <w:rPr>
                <w:rFonts w:ascii="Cambria"/>
                <w:sz w:val="30"/>
              </w:rPr>
              <w:t xml:space="preserve"> the contesting </w:t>
            </w:r>
            <w:r>
              <w:rPr>
                <w:rFonts w:ascii="Cambria"/>
                <w:sz w:val="30"/>
              </w:rPr>
              <w:t>is</w:t>
            </w:r>
            <w:r w:rsidRPr="0015486A">
              <w:rPr>
                <w:rFonts w:ascii="Cambria"/>
                <w:sz w:val="30"/>
              </w:rPr>
              <w:t xml:space="preserve"> being done pre-appeals, task groups have the discretion of overlooking the time violation and granting accreditation or </w:t>
            </w:r>
            <w:r>
              <w:rPr>
                <w:rFonts w:ascii="Cambria"/>
                <w:sz w:val="30"/>
              </w:rPr>
              <w:t>merit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if</w:t>
            </w:r>
            <w:r w:rsidRPr="0015486A">
              <w:rPr>
                <w:rFonts w:ascii="Cambria"/>
                <w:sz w:val="30"/>
              </w:rPr>
              <w:t xml:space="preserve"> there is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justifiable reason to disregard the time violation.</w:t>
            </w:r>
          </w:p>
        </w:tc>
      </w:tr>
      <w:tr w:rsidR="006A2B0D" w:rsidTr="0015486A">
        <w:trPr>
          <w:trHeight w:hRule="exact" w:val="1863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How do task groups </w:t>
            </w:r>
            <w:r>
              <w:rPr>
                <w:rFonts w:ascii="Cambria"/>
                <w:sz w:val="30"/>
              </w:rPr>
              <w:t>find</w:t>
            </w:r>
            <w:r w:rsidRPr="0015486A">
              <w:rPr>
                <w:rFonts w:ascii="Cambria"/>
                <w:sz w:val="30"/>
              </w:rPr>
              <w:t xml:space="preserve"> out what happens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SSC meetings?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Each task group is to </w:t>
            </w:r>
            <w:r>
              <w:rPr>
                <w:rFonts w:ascii="Cambria"/>
                <w:sz w:val="30"/>
              </w:rPr>
              <w:t>have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supplier appointed as that task group representative to the SSC. </w:t>
            </w:r>
            <w:r>
              <w:rPr>
                <w:rFonts w:ascii="Cambria"/>
                <w:sz w:val="30"/>
              </w:rPr>
              <w:t>It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is</w:t>
            </w:r>
            <w:r w:rsidRPr="0015486A">
              <w:rPr>
                <w:rFonts w:ascii="Cambria"/>
                <w:sz w:val="30"/>
              </w:rPr>
              <w:t xml:space="preserve"> the responsibility of the SSC representative to be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conduit for information between the task group and the SSC, including </w:t>
            </w:r>
            <w:r>
              <w:rPr>
                <w:rFonts w:ascii="Cambria"/>
                <w:sz w:val="30"/>
              </w:rPr>
              <w:t>report</w:t>
            </w:r>
            <w:r w:rsidRPr="0015486A">
              <w:rPr>
                <w:rFonts w:ascii="Cambria"/>
                <w:sz w:val="30"/>
              </w:rPr>
              <w:t xml:space="preserve"> outs from SSC meetings.</w:t>
            </w:r>
          </w:p>
        </w:tc>
      </w:tr>
      <w:tr w:rsidR="006A2B0D" w:rsidTr="0015486A">
        <w:trPr>
          <w:trHeight w:hRule="exact" w:val="2250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Is there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"guidebook" for mapping out the path to success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Nadcap?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The PRI and eAuditNet websites </w:t>
            </w:r>
            <w:r>
              <w:rPr>
                <w:rFonts w:ascii="Cambria"/>
                <w:sz w:val="30"/>
              </w:rPr>
              <w:t>have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many</w:t>
            </w:r>
            <w:r w:rsidRPr="0015486A">
              <w:rPr>
                <w:rFonts w:ascii="Cambria"/>
                <w:sz w:val="30"/>
              </w:rPr>
              <w:t xml:space="preserve"> resources to </w:t>
            </w:r>
            <w:r>
              <w:rPr>
                <w:rFonts w:ascii="Cambria"/>
                <w:sz w:val="30"/>
              </w:rPr>
              <w:t>help</w:t>
            </w:r>
            <w:r w:rsidRPr="0015486A">
              <w:rPr>
                <w:rFonts w:ascii="Cambria"/>
                <w:sz w:val="30"/>
              </w:rPr>
              <w:t xml:space="preserve"> suppliers have successful audits. The non-commodity </w:t>
            </w:r>
            <w:r>
              <w:rPr>
                <w:rFonts w:ascii="Cambria"/>
                <w:sz w:val="30"/>
              </w:rPr>
              <w:t>specific</w:t>
            </w:r>
            <w:r w:rsidRPr="0015486A">
              <w:rPr>
                <w:rFonts w:ascii="Cambria"/>
                <w:sz w:val="30"/>
              </w:rPr>
              <w:t xml:space="preserve"> resources are summarized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spreadsheet found at </w:t>
            </w:r>
            <w:hyperlink r:id="rId8">
              <w:r w:rsidRPr="0015486A">
                <w:rPr>
                  <w:rFonts w:ascii="Cambria"/>
                  <w:sz w:val="30"/>
                </w:rPr>
                <w:t>http://www.p-r-i.org/nadcap/supplier-support-committee/.</w:t>
              </w:r>
            </w:hyperlink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addition, commodity-specific resources are available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Resources/Documents/Public Documents on eAuditNet.</w:t>
            </w:r>
          </w:p>
        </w:tc>
      </w:tr>
      <w:tr w:rsidR="004924D2" w:rsidTr="0015486A">
        <w:trPr>
          <w:trHeight w:hRule="exact" w:val="1170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4D2" w:rsidRPr="0015486A" w:rsidRDefault="004924D2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>Where can suppliers record documented evidence on checklists</w:t>
            </w:r>
            <w:r w:rsidR="002A30F7" w:rsidRPr="0015486A">
              <w:rPr>
                <w:rFonts w:ascii="Cambria"/>
                <w:sz w:val="30"/>
              </w:rPr>
              <w:t>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4D2" w:rsidRDefault="002A30F7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>Word copies of checklist are available for suppliers on eAuditNet in Resources/Documents/Public Documents/ then click on the specific Commodity Folder.</w:t>
            </w:r>
          </w:p>
        </w:tc>
      </w:tr>
      <w:tr w:rsidR="0015486A" w:rsidTr="0015486A">
        <w:trPr>
          <w:trHeight w:hRule="exact" w:val="1989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86A" w:rsidRPr="0015486A" w:rsidRDefault="0015486A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>Who should you contact to understand a standard question or what the standard is looking for to be compliant to a requirement?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86A" w:rsidRDefault="0015486A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Checklist questions must be based on industry standards or Subscriber requirements and approved by the Task Group. For further clarification on the </w:t>
            </w:r>
            <w:r>
              <w:rPr>
                <w:rFonts w:ascii="Cambria"/>
                <w:sz w:val="30"/>
              </w:rPr>
              <w:t>standard</w:t>
            </w:r>
            <w:r>
              <w:rPr>
                <w:rFonts w:ascii="Cambria"/>
                <w:sz w:val="30"/>
              </w:rPr>
              <w:t>’</w:t>
            </w:r>
            <w:r>
              <w:rPr>
                <w:rFonts w:ascii="Cambria"/>
                <w:sz w:val="30"/>
              </w:rPr>
              <w:t xml:space="preserve">s </w:t>
            </w:r>
            <w:r w:rsidRPr="0015486A">
              <w:rPr>
                <w:rFonts w:ascii="Cambria"/>
                <w:sz w:val="30"/>
              </w:rPr>
              <w:t>intent, pleas</w:t>
            </w:r>
            <w:r w:rsidR="00524C43">
              <w:rPr>
                <w:rFonts w:ascii="Cambria"/>
                <w:sz w:val="30"/>
              </w:rPr>
              <w:t>e contact the appropriate s</w:t>
            </w:r>
            <w:r w:rsidRPr="0015486A">
              <w:rPr>
                <w:rFonts w:ascii="Cambria"/>
                <w:sz w:val="30"/>
              </w:rPr>
              <w:t xml:space="preserve">taff </w:t>
            </w:r>
            <w:r w:rsidR="00524C43">
              <w:rPr>
                <w:rFonts w:ascii="Cambria"/>
                <w:sz w:val="30"/>
              </w:rPr>
              <w:t>e</w:t>
            </w:r>
            <w:r w:rsidRPr="0015486A">
              <w:rPr>
                <w:rFonts w:ascii="Cambria"/>
                <w:sz w:val="30"/>
              </w:rPr>
              <w:t>ngineer or refer to the appropriate handbook, located on eAuditNet under the commodity folder.</w:t>
            </w:r>
          </w:p>
        </w:tc>
      </w:tr>
      <w:tr w:rsidR="006A2B0D" w:rsidTr="0015486A">
        <w:trPr>
          <w:trHeight w:hRule="exact" w:val="1251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Is there an avenue for suppliers to voice </w:t>
            </w:r>
            <w:r w:rsidR="0015486A" w:rsidRPr="0015486A">
              <w:rPr>
                <w:rFonts w:ascii="Cambria"/>
                <w:sz w:val="30"/>
              </w:rPr>
              <w:t>c</w:t>
            </w:r>
            <w:r w:rsidRPr="0015486A">
              <w:rPr>
                <w:rFonts w:ascii="Cambria"/>
                <w:sz w:val="30"/>
              </w:rPr>
              <w:t>oncerns about checklists and the audit process?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Suppliers </w:t>
            </w:r>
            <w:r>
              <w:rPr>
                <w:rFonts w:ascii="Cambria"/>
                <w:sz w:val="30"/>
              </w:rPr>
              <w:t>may</w:t>
            </w:r>
            <w:r w:rsidRPr="0015486A">
              <w:rPr>
                <w:rFonts w:ascii="Cambria"/>
                <w:sz w:val="30"/>
              </w:rPr>
              <w:t xml:space="preserve"> and should use the post-audit survey to raise any concerns related to the audit. These surveys are </w:t>
            </w:r>
            <w:r>
              <w:rPr>
                <w:rFonts w:ascii="Cambria"/>
                <w:sz w:val="30"/>
              </w:rPr>
              <w:t>reviewed</w:t>
            </w:r>
            <w:r w:rsidRPr="0015486A">
              <w:rPr>
                <w:rFonts w:ascii="Cambria"/>
                <w:sz w:val="30"/>
              </w:rPr>
              <w:t xml:space="preserve"> by the task group and by the NMC Oversight Team.</w:t>
            </w:r>
          </w:p>
        </w:tc>
      </w:tr>
      <w:tr w:rsidR="006A2B0D" w:rsidTr="0015486A">
        <w:trPr>
          <w:trHeight w:hRule="exact" w:val="2250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Why can't the SSC general meeting be </w:t>
            </w:r>
            <w:r>
              <w:rPr>
                <w:rFonts w:ascii="Cambria"/>
                <w:sz w:val="30"/>
              </w:rPr>
              <w:t>held</w:t>
            </w:r>
            <w:r w:rsidRPr="0015486A">
              <w:rPr>
                <w:rFonts w:ascii="Cambria"/>
                <w:sz w:val="30"/>
              </w:rPr>
              <w:t xml:space="preserve"> during normal business hours?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The primary purpose of the Nadcap meeting </w:t>
            </w:r>
            <w:r>
              <w:rPr>
                <w:rFonts w:ascii="Cambria"/>
                <w:sz w:val="30"/>
              </w:rPr>
              <w:t>is</w:t>
            </w:r>
            <w:r w:rsidRPr="0015486A">
              <w:rPr>
                <w:rFonts w:ascii="Cambria"/>
                <w:sz w:val="30"/>
              </w:rPr>
              <w:t xml:space="preserve"> the </w:t>
            </w:r>
            <w:r w:rsidR="0015486A" w:rsidRPr="0015486A">
              <w:rPr>
                <w:rFonts w:ascii="Cambria"/>
                <w:sz w:val="30"/>
              </w:rPr>
              <w:t>task</w:t>
            </w:r>
            <w:r w:rsidRPr="0015486A">
              <w:rPr>
                <w:rFonts w:ascii="Cambria"/>
                <w:sz w:val="30"/>
              </w:rPr>
              <w:t xml:space="preserve"> </w:t>
            </w:r>
            <w:r w:rsidR="00B360B1" w:rsidRPr="0015486A">
              <w:rPr>
                <w:rFonts w:ascii="Cambria"/>
                <w:sz w:val="30"/>
              </w:rPr>
              <w:t>g</w:t>
            </w:r>
            <w:r w:rsidRPr="0015486A">
              <w:rPr>
                <w:rFonts w:ascii="Cambria"/>
                <w:sz w:val="30"/>
              </w:rPr>
              <w:t xml:space="preserve">roups. The SSC </w:t>
            </w:r>
            <w:r>
              <w:rPr>
                <w:rFonts w:ascii="Cambria"/>
                <w:sz w:val="30"/>
              </w:rPr>
              <w:t>has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held</w:t>
            </w:r>
            <w:r w:rsidRPr="0015486A">
              <w:rPr>
                <w:rFonts w:ascii="Cambria"/>
                <w:sz w:val="30"/>
              </w:rPr>
              <w:t xml:space="preserve"> the general meetings at various times over the years. Because most suppliers attend Nadcap meetings to participate </w:t>
            </w:r>
            <w:r>
              <w:rPr>
                <w:rFonts w:ascii="Cambria"/>
                <w:sz w:val="30"/>
              </w:rPr>
              <w:t>in</w:t>
            </w:r>
            <w:r w:rsidRPr="0015486A">
              <w:rPr>
                <w:rFonts w:ascii="Cambria"/>
                <w:sz w:val="30"/>
              </w:rPr>
              <w:t xml:space="preserve"> task groups, SSC meeting attendance </w:t>
            </w:r>
            <w:r>
              <w:rPr>
                <w:rFonts w:ascii="Cambria"/>
                <w:sz w:val="30"/>
              </w:rPr>
              <w:t>has</w:t>
            </w:r>
            <w:r w:rsidRPr="0015486A">
              <w:rPr>
                <w:rFonts w:ascii="Cambria"/>
                <w:sz w:val="30"/>
              </w:rPr>
              <w:t xml:space="preserve"> been greatest </w:t>
            </w:r>
            <w:r>
              <w:rPr>
                <w:rFonts w:ascii="Cambria"/>
                <w:sz w:val="30"/>
              </w:rPr>
              <w:t>when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it</w:t>
            </w:r>
            <w:r w:rsidRPr="0015486A">
              <w:rPr>
                <w:rFonts w:ascii="Cambria"/>
                <w:sz w:val="30"/>
              </w:rPr>
              <w:t xml:space="preserve"> has been held at the </w:t>
            </w:r>
            <w:r>
              <w:rPr>
                <w:rFonts w:ascii="Cambria"/>
                <w:sz w:val="30"/>
              </w:rPr>
              <w:t>end</w:t>
            </w:r>
            <w:r w:rsidRPr="0015486A">
              <w:rPr>
                <w:rFonts w:ascii="Cambria"/>
                <w:sz w:val="30"/>
              </w:rPr>
              <w:t xml:space="preserve"> of the day, </w:t>
            </w:r>
            <w:r>
              <w:rPr>
                <w:rFonts w:ascii="Cambria"/>
                <w:sz w:val="30"/>
              </w:rPr>
              <w:t>when</w:t>
            </w:r>
            <w:r w:rsidRPr="0015486A">
              <w:rPr>
                <w:rFonts w:ascii="Cambria"/>
                <w:sz w:val="30"/>
              </w:rPr>
              <w:t xml:space="preserve"> task group meetings </w:t>
            </w:r>
            <w:r>
              <w:rPr>
                <w:rFonts w:ascii="Cambria"/>
                <w:sz w:val="30"/>
              </w:rPr>
              <w:t>have</w:t>
            </w:r>
            <w:r w:rsidRPr="0015486A">
              <w:rPr>
                <w:rFonts w:ascii="Cambria"/>
                <w:sz w:val="30"/>
              </w:rPr>
              <w:t xml:space="preserve"> concluded.</w:t>
            </w:r>
          </w:p>
        </w:tc>
      </w:tr>
      <w:tr w:rsidR="006A2B0D" w:rsidTr="0015486A">
        <w:trPr>
          <w:trHeight w:hRule="exact" w:val="1179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What do the NMC Task Group Metrics posted on eAuditNet </w:t>
            </w:r>
            <w:r>
              <w:rPr>
                <w:rFonts w:ascii="Cambria"/>
                <w:sz w:val="30"/>
              </w:rPr>
              <w:t>mean?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>The NMC assigned metrics to each TG to gauge their performance. The metrics are established to chart progress to meeting specific goals, chart the program.</w:t>
            </w:r>
          </w:p>
          <w:p w:rsidR="003828A5" w:rsidRPr="0015486A" w:rsidRDefault="003828A5" w:rsidP="0015486A">
            <w:pPr>
              <w:pStyle w:val="TableParagraph"/>
              <w:ind w:left="99" w:right="384"/>
              <w:rPr>
                <w:rFonts w:ascii="Cambria"/>
                <w:sz w:val="30"/>
              </w:rPr>
            </w:pPr>
          </w:p>
        </w:tc>
      </w:tr>
      <w:tr w:rsidR="003828A5" w:rsidTr="0015486A">
        <w:trPr>
          <w:trHeight w:hRule="exact" w:val="441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8A5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What do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do </w:t>
            </w:r>
            <w:r>
              <w:rPr>
                <w:rFonts w:ascii="Cambria"/>
                <w:sz w:val="30"/>
              </w:rPr>
              <w:t>if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have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technical issue?    </w:t>
            </w:r>
          </w:p>
          <w:p w:rsidR="003828A5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8A5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 Contact the appropriate </w:t>
            </w:r>
            <w:r w:rsidR="00B360B1" w:rsidRPr="0015486A">
              <w:rPr>
                <w:rFonts w:ascii="Cambria"/>
                <w:sz w:val="30"/>
              </w:rPr>
              <w:t>s</w:t>
            </w:r>
            <w:r w:rsidRPr="0015486A">
              <w:rPr>
                <w:rFonts w:ascii="Cambria"/>
                <w:sz w:val="30"/>
              </w:rPr>
              <w:t xml:space="preserve">taff </w:t>
            </w:r>
            <w:r w:rsidR="00B360B1" w:rsidRPr="0015486A">
              <w:rPr>
                <w:rFonts w:ascii="Cambria"/>
                <w:sz w:val="30"/>
              </w:rPr>
              <w:t>e</w:t>
            </w:r>
            <w:r w:rsidRPr="0015486A">
              <w:rPr>
                <w:rFonts w:ascii="Cambria"/>
                <w:sz w:val="30"/>
              </w:rPr>
              <w:t>ngineer or your customer.</w:t>
            </w:r>
          </w:p>
        </w:tc>
      </w:tr>
      <w:tr w:rsidR="006A2B0D" w:rsidTr="0015486A">
        <w:trPr>
          <w:trHeight w:hRule="exact" w:val="810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What do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do </w:t>
            </w:r>
            <w:r>
              <w:rPr>
                <w:rFonts w:ascii="Cambria"/>
                <w:sz w:val="30"/>
              </w:rPr>
              <w:t>if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have </w:t>
            </w:r>
            <w:r>
              <w:rPr>
                <w:rFonts w:ascii="Cambria"/>
                <w:sz w:val="30"/>
              </w:rPr>
              <w:t>a</w:t>
            </w:r>
            <w:r w:rsidRPr="0015486A">
              <w:rPr>
                <w:rFonts w:ascii="Cambria"/>
                <w:sz w:val="30"/>
              </w:rPr>
              <w:t xml:space="preserve"> general/non-technical </w:t>
            </w:r>
            <w:r>
              <w:rPr>
                <w:rFonts w:ascii="Cambria"/>
                <w:sz w:val="30"/>
              </w:rPr>
              <w:t>issue</w:t>
            </w:r>
            <w:r w:rsidR="00AA1E7C">
              <w:rPr>
                <w:rFonts w:ascii="Cambria"/>
                <w:sz w:val="30"/>
              </w:rPr>
              <w:t xml:space="preserve"> or suggestions</w:t>
            </w:r>
            <w:r>
              <w:rPr>
                <w:rFonts w:ascii="Cambria"/>
                <w:sz w:val="30"/>
              </w:rPr>
              <w:t>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>Complete SSC Request Form</w:t>
            </w:r>
            <w:r w:rsidR="00AA1E7C" w:rsidRPr="0015486A">
              <w:rPr>
                <w:rFonts w:ascii="Cambria"/>
                <w:sz w:val="30"/>
              </w:rPr>
              <w:t xml:space="preserve">, which can be found at </w:t>
            </w:r>
            <w:hyperlink r:id="rId9">
              <w:r w:rsidR="00AA1E7C" w:rsidRPr="0015486A">
                <w:rPr>
                  <w:rFonts w:ascii="Cambria"/>
                  <w:sz w:val="30"/>
                </w:rPr>
                <w:t>http://www.p-r-i.org/nadcap/supplier-support-committee/.</w:t>
              </w:r>
            </w:hyperlink>
          </w:p>
        </w:tc>
      </w:tr>
      <w:tr w:rsidR="006A2B0D" w:rsidTr="0015486A">
        <w:trPr>
          <w:trHeight w:hRule="exact" w:val="819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What do </w:t>
            </w:r>
            <w:r>
              <w:rPr>
                <w:rFonts w:ascii="Cambria"/>
                <w:sz w:val="30"/>
              </w:rPr>
              <w:t xml:space="preserve">I </w:t>
            </w:r>
            <w:r w:rsidRPr="0015486A">
              <w:rPr>
                <w:rFonts w:ascii="Cambria"/>
                <w:sz w:val="30"/>
              </w:rPr>
              <w:t xml:space="preserve">do </w:t>
            </w:r>
            <w:r>
              <w:rPr>
                <w:rFonts w:ascii="Cambria"/>
                <w:sz w:val="30"/>
              </w:rPr>
              <w:t>if</w:t>
            </w:r>
            <w:r w:rsidRPr="0015486A">
              <w:rPr>
                <w:rFonts w:ascii="Cambria"/>
                <w:sz w:val="30"/>
              </w:rPr>
              <w:t xml:space="preserve">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have an issue that effects more than </w:t>
            </w:r>
            <w:r>
              <w:rPr>
                <w:rFonts w:ascii="Cambria"/>
                <w:sz w:val="30"/>
              </w:rPr>
              <w:t>my</w:t>
            </w:r>
            <w:r w:rsidRPr="0015486A">
              <w:rPr>
                <w:rFonts w:ascii="Cambria"/>
                <w:sz w:val="30"/>
              </w:rPr>
              <w:t xml:space="preserve"> commodity?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Contact your SSC </w:t>
            </w:r>
            <w:r w:rsidR="00B360B1" w:rsidRPr="0015486A">
              <w:rPr>
                <w:rFonts w:ascii="Cambria"/>
                <w:sz w:val="30"/>
              </w:rPr>
              <w:t>T</w:t>
            </w:r>
            <w:r w:rsidRPr="0015486A">
              <w:rPr>
                <w:rFonts w:ascii="Cambria"/>
                <w:sz w:val="30"/>
              </w:rPr>
              <w:t xml:space="preserve">ask Group </w:t>
            </w:r>
            <w:r>
              <w:rPr>
                <w:rFonts w:ascii="Cambria"/>
                <w:sz w:val="30"/>
              </w:rPr>
              <w:t>rep</w:t>
            </w:r>
            <w:r w:rsidRPr="0015486A">
              <w:rPr>
                <w:rFonts w:ascii="Cambria"/>
                <w:sz w:val="30"/>
              </w:rPr>
              <w:t xml:space="preserve"> or complete the SSC Request Form. For technical issues, contact your Staff Engineer.</w:t>
            </w:r>
          </w:p>
        </w:tc>
      </w:tr>
      <w:tr w:rsidR="006A2B0D" w:rsidTr="0015486A">
        <w:trPr>
          <w:trHeight w:hRule="exact" w:val="801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How do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reduce cost and time of audits?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>Through careful planning and preparing utilizing the resources on the webpage and achieving merit.</w:t>
            </w:r>
          </w:p>
        </w:tc>
      </w:tr>
      <w:tr w:rsidR="006A2B0D" w:rsidTr="0015486A">
        <w:trPr>
          <w:trHeight w:hRule="exact" w:val="1435"/>
        </w:trPr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What's </w:t>
            </w:r>
            <w:r>
              <w:rPr>
                <w:rFonts w:ascii="Cambria"/>
                <w:sz w:val="30"/>
              </w:rPr>
              <w:t>merit</w:t>
            </w:r>
            <w:r w:rsidRPr="0015486A">
              <w:rPr>
                <w:rFonts w:ascii="Cambria"/>
                <w:sz w:val="30"/>
              </w:rPr>
              <w:t xml:space="preserve"> and how do </w:t>
            </w:r>
            <w:r>
              <w:rPr>
                <w:rFonts w:ascii="Cambria"/>
                <w:sz w:val="30"/>
              </w:rPr>
              <w:t>I</w:t>
            </w:r>
            <w:r w:rsidRPr="0015486A">
              <w:rPr>
                <w:rFonts w:ascii="Cambria"/>
                <w:sz w:val="30"/>
              </w:rPr>
              <w:t xml:space="preserve"> achieve it?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B0D" w:rsidRPr="0015486A" w:rsidRDefault="003828A5" w:rsidP="0015486A">
            <w:pPr>
              <w:pStyle w:val="TableParagraph"/>
              <w:ind w:left="99" w:right="313"/>
              <w:rPr>
                <w:rFonts w:ascii="Cambria"/>
                <w:sz w:val="30"/>
              </w:rPr>
            </w:pPr>
            <w:r w:rsidRPr="0015486A">
              <w:rPr>
                <w:rFonts w:ascii="Cambria"/>
                <w:sz w:val="30"/>
              </w:rPr>
              <w:t xml:space="preserve">The information on </w:t>
            </w:r>
            <w:r>
              <w:rPr>
                <w:rFonts w:ascii="Cambria"/>
                <w:sz w:val="30"/>
              </w:rPr>
              <w:t>merit</w:t>
            </w:r>
            <w:r w:rsidRPr="0015486A">
              <w:rPr>
                <w:rFonts w:ascii="Cambria"/>
                <w:sz w:val="30"/>
              </w:rPr>
              <w:t xml:space="preserve"> can be found at Nadcap procedure. Based on </w:t>
            </w:r>
            <w:r>
              <w:rPr>
                <w:rFonts w:ascii="Cambria"/>
                <w:sz w:val="30"/>
              </w:rPr>
              <w:t>past</w:t>
            </w:r>
            <w:r w:rsidRPr="0015486A">
              <w:rPr>
                <w:rFonts w:ascii="Cambria"/>
                <w:sz w:val="30"/>
              </w:rPr>
              <w:t xml:space="preserve"> audit performance, the frequency between audits can be extended as far as 24 months to the achievement of merit.</w:t>
            </w:r>
          </w:p>
        </w:tc>
      </w:tr>
    </w:tbl>
    <w:p w:rsidR="009F7AFF" w:rsidRDefault="009F7AFF" w:rsidP="003828A5"/>
    <w:sectPr w:rsidR="009F7AFF">
      <w:type w:val="continuous"/>
      <w:pgSz w:w="15850" w:h="24490"/>
      <w:pgMar w:top="300" w:right="5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D"/>
    <w:rsid w:val="0015486A"/>
    <w:rsid w:val="00284997"/>
    <w:rsid w:val="002A30F7"/>
    <w:rsid w:val="003828A5"/>
    <w:rsid w:val="004924D2"/>
    <w:rsid w:val="004D2477"/>
    <w:rsid w:val="00524C43"/>
    <w:rsid w:val="006A2B0D"/>
    <w:rsid w:val="009A4088"/>
    <w:rsid w:val="009F7AFF"/>
    <w:rsid w:val="00AA1E7C"/>
    <w:rsid w:val="00B3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AA7A"/>
  <w15:docId w15:val="{538EAA95-B8EA-44E6-9108-23F8B34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r-i.org/nadcap/supplier-support-committe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-r-i.org/nadcap/supplier-support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K. McMeans</dc:creator>
  <cp:lastModifiedBy>Carol Martin</cp:lastModifiedBy>
  <cp:revision>2</cp:revision>
  <dcterms:created xsi:type="dcterms:W3CDTF">2017-02-06T21:21:00Z</dcterms:created>
  <dcterms:modified xsi:type="dcterms:W3CDTF">2017-02-06T21:21:00Z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2016-10-05T00:00:00Z</vt:filetime>
  </property>
</Properties>
</file>