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C2E3" w14:textId="2A5676B7" w:rsidR="00FA0B5E" w:rsidRPr="00FC3F1E" w:rsidRDefault="00FA0B5E" w:rsidP="00FC3F1E">
      <w:pPr>
        <w:spacing w:after="0"/>
        <w:jc w:val="center"/>
        <w:rPr>
          <w:b/>
        </w:rPr>
      </w:pPr>
      <w:r w:rsidRPr="00FC3F1E">
        <w:rPr>
          <w:b/>
        </w:rPr>
        <w:t>CONFIRMED MINUTES</w:t>
      </w:r>
    </w:p>
    <w:p w14:paraId="00BD6831" w14:textId="77777777" w:rsidR="00FA0B5E" w:rsidRPr="00FC3F1E" w:rsidRDefault="00CB496C" w:rsidP="00FC3F1E">
      <w:pPr>
        <w:spacing w:after="0"/>
        <w:jc w:val="center"/>
        <w:rPr>
          <w:b/>
        </w:rPr>
      </w:pPr>
      <w:r>
        <w:rPr>
          <w:b/>
        </w:rPr>
        <w:t>FEBRUARY</w:t>
      </w:r>
      <w:r w:rsidR="00141014">
        <w:rPr>
          <w:b/>
        </w:rPr>
        <w:t xml:space="preserve"> </w:t>
      </w:r>
      <w:r w:rsidR="00C61D88">
        <w:rPr>
          <w:b/>
        </w:rPr>
        <w:t>2</w:t>
      </w:r>
      <w:r>
        <w:rPr>
          <w:b/>
        </w:rPr>
        <w:t>0</w:t>
      </w:r>
      <w:r w:rsidR="00C61D88">
        <w:rPr>
          <w:b/>
        </w:rPr>
        <w:t>-2</w:t>
      </w:r>
      <w:r>
        <w:rPr>
          <w:b/>
        </w:rPr>
        <w:t>3</w:t>
      </w:r>
      <w:r w:rsidR="00FA0B5E" w:rsidRPr="00FC3F1E">
        <w:rPr>
          <w:b/>
        </w:rPr>
        <w:t xml:space="preserve">, </w:t>
      </w:r>
      <w:r w:rsidR="00EE7E69">
        <w:rPr>
          <w:b/>
        </w:rPr>
        <w:t>2017</w:t>
      </w:r>
    </w:p>
    <w:p w14:paraId="7D52DE96" w14:textId="77777777" w:rsidR="00FA0B5E" w:rsidRPr="00FC3F1E" w:rsidRDefault="00CB496C" w:rsidP="007F7E08">
      <w:pPr>
        <w:jc w:val="center"/>
        <w:rPr>
          <w:b/>
        </w:rPr>
      </w:pPr>
      <w:r>
        <w:rPr>
          <w:b/>
        </w:rPr>
        <w:t>NEW ORLEANS</w:t>
      </w:r>
      <w:r w:rsidR="000A4DCB">
        <w:rPr>
          <w:b/>
        </w:rPr>
        <w:t xml:space="preserve">, </w:t>
      </w:r>
      <w:r>
        <w:rPr>
          <w:b/>
        </w:rPr>
        <w:t>LOUISIANA</w:t>
      </w:r>
      <w:r w:rsidR="000A4DCB">
        <w:rPr>
          <w:b/>
        </w:rPr>
        <w:t xml:space="preserve">, </w:t>
      </w:r>
      <w:r w:rsidR="00141014">
        <w:rPr>
          <w:b/>
        </w:rPr>
        <w:t>USA</w:t>
      </w:r>
    </w:p>
    <w:p w14:paraId="6F3228EF"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72595BB9" w14:textId="77777777" w:rsidR="00FA0B5E" w:rsidRPr="00FC3F1E" w:rsidRDefault="00C61D88" w:rsidP="00FA0B5E">
      <w:pPr>
        <w:rPr>
          <w:b/>
          <w:u w:val="single"/>
        </w:rPr>
      </w:pPr>
      <w:r>
        <w:rPr>
          <w:b/>
          <w:u w:val="single"/>
        </w:rPr>
        <w:t>MONDAY</w:t>
      </w:r>
      <w:r w:rsidR="00FA0B5E" w:rsidRPr="00FC3F1E">
        <w:rPr>
          <w:b/>
          <w:u w:val="single"/>
        </w:rPr>
        <w:t xml:space="preserve">, </w:t>
      </w:r>
      <w:r>
        <w:rPr>
          <w:b/>
          <w:u w:val="single"/>
        </w:rPr>
        <w:t>2</w:t>
      </w:r>
      <w:r w:rsidR="00CB496C">
        <w:rPr>
          <w:b/>
          <w:u w:val="single"/>
        </w:rPr>
        <w:t>0</w:t>
      </w:r>
      <w:r w:rsidR="009E70EB">
        <w:rPr>
          <w:b/>
          <w:u w:val="single"/>
        </w:rPr>
        <w:t>-</w:t>
      </w:r>
      <w:r w:rsidR="00CB496C">
        <w:rPr>
          <w:b/>
          <w:u w:val="single"/>
        </w:rPr>
        <w:t>FEB</w:t>
      </w:r>
      <w:r w:rsidR="009E70EB">
        <w:rPr>
          <w:b/>
          <w:u w:val="single"/>
        </w:rPr>
        <w:t>-</w:t>
      </w:r>
      <w:r w:rsidR="00CB496C">
        <w:rPr>
          <w:b/>
          <w:u w:val="single"/>
        </w:rPr>
        <w:t>2017</w:t>
      </w:r>
      <w:r w:rsidR="00FA0B5E" w:rsidRPr="00FC3F1E">
        <w:rPr>
          <w:b/>
          <w:u w:val="single"/>
        </w:rPr>
        <w:t xml:space="preserve"> to </w:t>
      </w:r>
      <w:r>
        <w:rPr>
          <w:b/>
          <w:u w:val="single"/>
        </w:rPr>
        <w:t>THURSDAY</w:t>
      </w:r>
      <w:r w:rsidR="00FA0B5E" w:rsidRPr="00FC3F1E">
        <w:rPr>
          <w:b/>
          <w:u w:val="single"/>
        </w:rPr>
        <w:t xml:space="preserve">, </w:t>
      </w:r>
      <w:r>
        <w:rPr>
          <w:b/>
          <w:u w:val="single"/>
        </w:rPr>
        <w:t>2</w:t>
      </w:r>
      <w:r w:rsidR="00CB496C">
        <w:rPr>
          <w:b/>
          <w:u w:val="single"/>
        </w:rPr>
        <w:t>3</w:t>
      </w:r>
      <w:r w:rsidR="009E70EB">
        <w:rPr>
          <w:b/>
          <w:u w:val="single"/>
        </w:rPr>
        <w:t>-</w:t>
      </w:r>
      <w:r w:rsidR="00CB496C">
        <w:rPr>
          <w:b/>
          <w:u w:val="single"/>
        </w:rPr>
        <w:t>FEB</w:t>
      </w:r>
      <w:r w:rsidR="009E70EB">
        <w:rPr>
          <w:b/>
          <w:u w:val="single"/>
        </w:rPr>
        <w:t>-</w:t>
      </w:r>
      <w:r w:rsidR="00CB496C">
        <w:rPr>
          <w:b/>
          <w:u w:val="single"/>
        </w:rPr>
        <w:t>2017</w:t>
      </w:r>
    </w:p>
    <w:p w14:paraId="6920AEA2" w14:textId="77777777" w:rsidR="00EE7E69" w:rsidRDefault="00EE7E69" w:rsidP="00EE7E69">
      <w:pPr>
        <w:pStyle w:val="Heading1"/>
      </w:pPr>
      <w:r>
        <w:t>OPENING COMMENTS – OPEN/CLOSED</w:t>
      </w:r>
    </w:p>
    <w:p w14:paraId="25D86262" w14:textId="77777777" w:rsidR="00EE7E69" w:rsidRDefault="00EE7E69" w:rsidP="00EE7E69">
      <w:pPr>
        <w:pStyle w:val="Heading2"/>
      </w:pPr>
      <w:r>
        <w:t>Call to Order / Quorum Check – OPEN/CLOSED</w:t>
      </w:r>
    </w:p>
    <w:p w14:paraId="794301CB" w14:textId="77777777" w:rsidR="00FA0B5E" w:rsidRDefault="00C61D88" w:rsidP="00FA0B5E">
      <w:pPr>
        <w:pStyle w:val="Body"/>
      </w:pPr>
      <w:r>
        <w:t>The Coatings Task Group (CTTG)</w:t>
      </w:r>
      <w:r w:rsidR="00FA0B5E">
        <w:t xml:space="preserve"> was called to order at </w:t>
      </w:r>
      <w:r w:rsidR="00141014">
        <w:t>8</w:t>
      </w:r>
      <w:r>
        <w:t>:00</w:t>
      </w:r>
      <w:r w:rsidR="00FA0B5E">
        <w:t xml:space="preserve"> a.m., </w:t>
      </w:r>
      <w:r>
        <w:t>2</w:t>
      </w:r>
      <w:r w:rsidR="00CB496C">
        <w:t>0</w:t>
      </w:r>
      <w:r w:rsidR="00141014">
        <w:t>-</w:t>
      </w:r>
      <w:r w:rsidR="00CB496C">
        <w:t>Feb-2017.</w:t>
      </w:r>
    </w:p>
    <w:p w14:paraId="1AA8D1CB" w14:textId="77777777" w:rsidR="00FA0B5E" w:rsidRDefault="00FA0B5E" w:rsidP="00FA0B5E">
      <w:pPr>
        <w:pStyle w:val="Body"/>
      </w:pPr>
      <w:r>
        <w:t>It was verified that only SUBSCRIBER MEMBERS were in attendance during the closed portion of the meeting.</w:t>
      </w:r>
      <w:bookmarkStart w:id="0" w:name="_GoBack"/>
      <w:bookmarkEnd w:id="0"/>
    </w:p>
    <w:p w14:paraId="598514C3" w14:textId="77777777" w:rsidR="00FA0B5E" w:rsidRDefault="00FA0B5E" w:rsidP="00FA0B5E">
      <w:pPr>
        <w:pStyle w:val="Body"/>
      </w:pPr>
      <w:r>
        <w:t>A quorum was established with the following representatives in attendance:</w:t>
      </w:r>
    </w:p>
    <w:p w14:paraId="617A69A2"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6B1AC663" w14:textId="77777777" w:rsidTr="0072739C">
        <w:tc>
          <w:tcPr>
            <w:tcW w:w="295" w:type="dxa"/>
          </w:tcPr>
          <w:p w14:paraId="3033622A" w14:textId="77777777" w:rsidR="00FA0B5E" w:rsidRPr="00FA0B5E" w:rsidRDefault="00FA0B5E" w:rsidP="00FA0B5E">
            <w:pPr>
              <w:pStyle w:val="Names"/>
            </w:pPr>
          </w:p>
        </w:tc>
        <w:tc>
          <w:tcPr>
            <w:tcW w:w="1998" w:type="dxa"/>
          </w:tcPr>
          <w:p w14:paraId="3E49B7D4" w14:textId="77777777" w:rsidR="00FA0B5E" w:rsidRPr="00FA0B5E" w:rsidRDefault="00FA0B5E" w:rsidP="00FA0B5E">
            <w:pPr>
              <w:pStyle w:val="Names"/>
            </w:pPr>
            <w:r w:rsidRPr="00FA0B5E">
              <w:t>NAME</w:t>
            </w:r>
          </w:p>
        </w:tc>
        <w:tc>
          <w:tcPr>
            <w:tcW w:w="1980" w:type="dxa"/>
          </w:tcPr>
          <w:p w14:paraId="2D1E204D" w14:textId="77777777" w:rsidR="00FA0B5E" w:rsidRPr="00FA0B5E" w:rsidRDefault="00FA0B5E" w:rsidP="00FA0B5E">
            <w:pPr>
              <w:pStyle w:val="Names"/>
            </w:pPr>
          </w:p>
        </w:tc>
        <w:tc>
          <w:tcPr>
            <w:tcW w:w="3870" w:type="dxa"/>
          </w:tcPr>
          <w:p w14:paraId="77C9ED1B" w14:textId="77777777" w:rsidR="00FA0B5E" w:rsidRPr="00FA0B5E" w:rsidRDefault="00FA0B5E" w:rsidP="00FA0B5E">
            <w:pPr>
              <w:pStyle w:val="Names"/>
            </w:pPr>
            <w:r w:rsidRPr="00FA0B5E">
              <w:t>COMPANY NAME</w:t>
            </w:r>
          </w:p>
        </w:tc>
        <w:tc>
          <w:tcPr>
            <w:tcW w:w="2160" w:type="dxa"/>
          </w:tcPr>
          <w:p w14:paraId="189A1B6C" w14:textId="77777777" w:rsidR="00FA0B5E" w:rsidRPr="00FA0B5E" w:rsidRDefault="00FA0B5E" w:rsidP="00FA0B5E">
            <w:pPr>
              <w:pStyle w:val="Names"/>
            </w:pPr>
          </w:p>
        </w:tc>
      </w:tr>
      <w:tr w:rsidR="00E51455" w:rsidRPr="00FA0B5E" w14:paraId="704D6CAA" w14:textId="77777777" w:rsidTr="0072739C">
        <w:tc>
          <w:tcPr>
            <w:tcW w:w="295" w:type="dxa"/>
          </w:tcPr>
          <w:p w14:paraId="7D39C117" w14:textId="77777777" w:rsidR="00FA0B5E" w:rsidRPr="00FA0B5E" w:rsidRDefault="00FA0B5E" w:rsidP="00FA0B5E">
            <w:pPr>
              <w:pStyle w:val="Names"/>
            </w:pPr>
          </w:p>
        </w:tc>
        <w:tc>
          <w:tcPr>
            <w:tcW w:w="1998" w:type="dxa"/>
          </w:tcPr>
          <w:p w14:paraId="2BB19CBF" w14:textId="77777777" w:rsidR="00FA0B5E" w:rsidRPr="00FA0B5E" w:rsidRDefault="00FA0B5E" w:rsidP="00FA0B5E">
            <w:pPr>
              <w:pStyle w:val="Names"/>
            </w:pPr>
          </w:p>
        </w:tc>
        <w:tc>
          <w:tcPr>
            <w:tcW w:w="1980" w:type="dxa"/>
          </w:tcPr>
          <w:p w14:paraId="57D71BEF" w14:textId="77777777" w:rsidR="00FA0B5E" w:rsidRPr="00FA0B5E" w:rsidRDefault="00FA0B5E" w:rsidP="00FA0B5E">
            <w:pPr>
              <w:pStyle w:val="Names"/>
            </w:pPr>
          </w:p>
        </w:tc>
        <w:tc>
          <w:tcPr>
            <w:tcW w:w="3870" w:type="dxa"/>
          </w:tcPr>
          <w:p w14:paraId="725783C7" w14:textId="77777777" w:rsidR="00FA0B5E" w:rsidRPr="00FA0B5E" w:rsidRDefault="00FA0B5E" w:rsidP="00FA0B5E">
            <w:pPr>
              <w:pStyle w:val="Names"/>
            </w:pPr>
          </w:p>
        </w:tc>
        <w:tc>
          <w:tcPr>
            <w:tcW w:w="2160" w:type="dxa"/>
          </w:tcPr>
          <w:p w14:paraId="22674EF9" w14:textId="77777777" w:rsidR="00FA0B5E" w:rsidRPr="00FA0B5E" w:rsidRDefault="00FA0B5E" w:rsidP="00FA0B5E">
            <w:pPr>
              <w:pStyle w:val="Names"/>
            </w:pPr>
          </w:p>
        </w:tc>
      </w:tr>
      <w:tr w:rsidR="0088435F" w:rsidRPr="0088435F" w14:paraId="5BE1BE31" w14:textId="77777777" w:rsidTr="006B60DB">
        <w:tc>
          <w:tcPr>
            <w:tcW w:w="295" w:type="dxa"/>
          </w:tcPr>
          <w:p w14:paraId="654E972A" w14:textId="77777777" w:rsidR="0088435F" w:rsidRPr="0088435F" w:rsidRDefault="0088435F" w:rsidP="0088435F">
            <w:pPr>
              <w:pStyle w:val="Names"/>
            </w:pPr>
            <w:r>
              <w:t>*</w:t>
            </w:r>
          </w:p>
        </w:tc>
        <w:tc>
          <w:tcPr>
            <w:tcW w:w="1998" w:type="dxa"/>
            <w:tcBorders>
              <w:top w:val="nil"/>
              <w:left w:val="nil"/>
              <w:bottom w:val="nil"/>
              <w:right w:val="nil"/>
            </w:tcBorders>
            <w:shd w:val="clear" w:color="auto" w:fill="auto"/>
            <w:vAlign w:val="bottom"/>
          </w:tcPr>
          <w:p w14:paraId="130A0532" w14:textId="77777777" w:rsidR="0088435F" w:rsidRPr="0088435F" w:rsidRDefault="0088435F">
            <w:pPr>
              <w:pStyle w:val="Names"/>
            </w:pPr>
            <w:r w:rsidRPr="006B60DB">
              <w:t>Mark</w:t>
            </w:r>
          </w:p>
        </w:tc>
        <w:tc>
          <w:tcPr>
            <w:tcW w:w="1980" w:type="dxa"/>
            <w:tcBorders>
              <w:top w:val="nil"/>
              <w:left w:val="nil"/>
              <w:bottom w:val="nil"/>
              <w:right w:val="nil"/>
            </w:tcBorders>
            <w:shd w:val="clear" w:color="auto" w:fill="auto"/>
            <w:vAlign w:val="bottom"/>
          </w:tcPr>
          <w:p w14:paraId="027607F7" w14:textId="77777777" w:rsidR="0088435F" w:rsidRPr="0088435F" w:rsidRDefault="0088435F">
            <w:pPr>
              <w:pStyle w:val="Names"/>
            </w:pPr>
            <w:r w:rsidRPr="006B60DB">
              <w:t>Binfield</w:t>
            </w:r>
          </w:p>
        </w:tc>
        <w:tc>
          <w:tcPr>
            <w:tcW w:w="3870" w:type="dxa"/>
            <w:tcBorders>
              <w:top w:val="nil"/>
              <w:left w:val="nil"/>
              <w:bottom w:val="nil"/>
              <w:right w:val="nil"/>
            </w:tcBorders>
            <w:shd w:val="clear" w:color="auto" w:fill="auto"/>
            <w:vAlign w:val="bottom"/>
          </w:tcPr>
          <w:p w14:paraId="051C3612" w14:textId="77777777" w:rsidR="0088435F" w:rsidRPr="0088435F" w:rsidRDefault="0088435F">
            <w:pPr>
              <w:pStyle w:val="Names"/>
            </w:pPr>
            <w:r w:rsidRPr="006B60DB">
              <w:t>UTC Aerospace (Goodrich)</w:t>
            </w:r>
          </w:p>
        </w:tc>
        <w:tc>
          <w:tcPr>
            <w:tcW w:w="2160" w:type="dxa"/>
          </w:tcPr>
          <w:p w14:paraId="265311E1" w14:textId="77777777" w:rsidR="0088435F" w:rsidRPr="0088435F" w:rsidRDefault="0088435F">
            <w:pPr>
              <w:pStyle w:val="Names"/>
            </w:pPr>
          </w:p>
        </w:tc>
      </w:tr>
      <w:tr w:rsidR="0088435F" w:rsidRPr="0088435F" w14:paraId="7B980149" w14:textId="77777777" w:rsidTr="006B60DB">
        <w:tc>
          <w:tcPr>
            <w:tcW w:w="295" w:type="dxa"/>
          </w:tcPr>
          <w:p w14:paraId="7E4A4A1B" w14:textId="77777777" w:rsidR="0088435F" w:rsidRPr="0088435F" w:rsidRDefault="0088435F">
            <w:pPr>
              <w:pStyle w:val="Names"/>
            </w:pPr>
            <w:r>
              <w:t>*</w:t>
            </w:r>
          </w:p>
        </w:tc>
        <w:tc>
          <w:tcPr>
            <w:tcW w:w="1998" w:type="dxa"/>
            <w:tcBorders>
              <w:top w:val="nil"/>
              <w:left w:val="nil"/>
              <w:bottom w:val="nil"/>
              <w:right w:val="nil"/>
            </w:tcBorders>
            <w:shd w:val="clear" w:color="auto" w:fill="auto"/>
            <w:vAlign w:val="bottom"/>
          </w:tcPr>
          <w:p w14:paraId="0309F056" w14:textId="77777777" w:rsidR="0088435F" w:rsidRPr="0088435F" w:rsidRDefault="0088435F">
            <w:pPr>
              <w:pStyle w:val="Names"/>
            </w:pPr>
            <w:r w:rsidRPr="006B60DB">
              <w:t>Fabrice</w:t>
            </w:r>
          </w:p>
        </w:tc>
        <w:tc>
          <w:tcPr>
            <w:tcW w:w="1980" w:type="dxa"/>
            <w:tcBorders>
              <w:top w:val="nil"/>
              <w:left w:val="nil"/>
              <w:bottom w:val="nil"/>
              <w:right w:val="nil"/>
            </w:tcBorders>
            <w:shd w:val="clear" w:color="auto" w:fill="auto"/>
            <w:vAlign w:val="bottom"/>
          </w:tcPr>
          <w:p w14:paraId="2F55D6E7" w14:textId="77777777" w:rsidR="0088435F" w:rsidRPr="0088435F" w:rsidRDefault="0088435F">
            <w:pPr>
              <w:pStyle w:val="Names"/>
            </w:pPr>
            <w:r w:rsidRPr="006B60DB">
              <w:t>Crabos</w:t>
            </w:r>
          </w:p>
        </w:tc>
        <w:tc>
          <w:tcPr>
            <w:tcW w:w="3870" w:type="dxa"/>
            <w:tcBorders>
              <w:top w:val="nil"/>
              <w:left w:val="nil"/>
              <w:bottom w:val="nil"/>
              <w:right w:val="nil"/>
            </w:tcBorders>
            <w:shd w:val="clear" w:color="auto" w:fill="auto"/>
            <w:vAlign w:val="bottom"/>
          </w:tcPr>
          <w:p w14:paraId="0B223696" w14:textId="77777777" w:rsidR="0088435F" w:rsidRPr="0088435F" w:rsidRDefault="0088435F">
            <w:pPr>
              <w:pStyle w:val="Names"/>
            </w:pPr>
            <w:r w:rsidRPr="006B60DB">
              <w:t>SAFRAN Group</w:t>
            </w:r>
          </w:p>
        </w:tc>
        <w:tc>
          <w:tcPr>
            <w:tcW w:w="2160" w:type="dxa"/>
          </w:tcPr>
          <w:p w14:paraId="3A94DABB" w14:textId="77777777" w:rsidR="0088435F" w:rsidRPr="0088435F" w:rsidRDefault="0088435F">
            <w:pPr>
              <w:pStyle w:val="Names"/>
            </w:pPr>
          </w:p>
        </w:tc>
      </w:tr>
      <w:tr w:rsidR="0088435F" w:rsidRPr="0088435F" w14:paraId="19216D7D" w14:textId="77777777" w:rsidTr="006B60DB">
        <w:tc>
          <w:tcPr>
            <w:tcW w:w="295" w:type="dxa"/>
          </w:tcPr>
          <w:p w14:paraId="1176470E" w14:textId="77777777" w:rsidR="0088435F" w:rsidRPr="0088435F" w:rsidRDefault="0088435F">
            <w:pPr>
              <w:pStyle w:val="Names"/>
            </w:pPr>
            <w:r>
              <w:t>*</w:t>
            </w:r>
          </w:p>
        </w:tc>
        <w:tc>
          <w:tcPr>
            <w:tcW w:w="1998" w:type="dxa"/>
            <w:tcBorders>
              <w:top w:val="nil"/>
              <w:left w:val="nil"/>
              <w:bottom w:val="nil"/>
              <w:right w:val="nil"/>
            </w:tcBorders>
            <w:shd w:val="clear" w:color="auto" w:fill="auto"/>
            <w:vAlign w:val="bottom"/>
          </w:tcPr>
          <w:p w14:paraId="0190AF8B" w14:textId="77777777" w:rsidR="0088435F" w:rsidRPr="0088435F" w:rsidRDefault="0088435F">
            <w:pPr>
              <w:pStyle w:val="Names"/>
            </w:pPr>
            <w:r w:rsidRPr="006B60DB">
              <w:t>Patrick</w:t>
            </w:r>
          </w:p>
        </w:tc>
        <w:tc>
          <w:tcPr>
            <w:tcW w:w="1980" w:type="dxa"/>
            <w:tcBorders>
              <w:top w:val="nil"/>
              <w:left w:val="nil"/>
              <w:bottom w:val="nil"/>
              <w:right w:val="nil"/>
            </w:tcBorders>
            <w:shd w:val="clear" w:color="auto" w:fill="auto"/>
            <w:vAlign w:val="bottom"/>
          </w:tcPr>
          <w:p w14:paraId="26AB179A" w14:textId="77777777" w:rsidR="0088435F" w:rsidRPr="0088435F" w:rsidRDefault="0088435F">
            <w:pPr>
              <w:pStyle w:val="Names"/>
            </w:pPr>
            <w:r w:rsidRPr="006B60DB">
              <w:t>Kiernan</w:t>
            </w:r>
          </w:p>
        </w:tc>
        <w:tc>
          <w:tcPr>
            <w:tcW w:w="3870" w:type="dxa"/>
            <w:tcBorders>
              <w:top w:val="nil"/>
              <w:left w:val="nil"/>
              <w:bottom w:val="nil"/>
              <w:right w:val="nil"/>
            </w:tcBorders>
            <w:shd w:val="clear" w:color="auto" w:fill="auto"/>
            <w:vAlign w:val="bottom"/>
          </w:tcPr>
          <w:p w14:paraId="0CB539F4" w14:textId="77777777" w:rsidR="0088435F" w:rsidRPr="0088435F" w:rsidRDefault="0088435F">
            <w:pPr>
              <w:pStyle w:val="Names"/>
            </w:pPr>
            <w:r w:rsidRPr="006B60DB">
              <w:t>Rolls-Royce</w:t>
            </w:r>
          </w:p>
        </w:tc>
        <w:tc>
          <w:tcPr>
            <w:tcW w:w="2160" w:type="dxa"/>
          </w:tcPr>
          <w:p w14:paraId="1F7CFDCD" w14:textId="77777777" w:rsidR="0088435F" w:rsidRPr="0088435F" w:rsidRDefault="0088435F">
            <w:pPr>
              <w:pStyle w:val="Names"/>
            </w:pPr>
          </w:p>
        </w:tc>
      </w:tr>
      <w:tr w:rsidR="0088435F" w:rsidRPr="0088435F" w14:paraId="3941619E" w14:textId="77777777" w:rsidTr="006B60DB">
        <w:tc>
          <w:tcPr>
            <w:tcW w:w="295" w:type="dxa"/>
          </w:tcPr>
          <w:p w14:paraId="32722599" w14:textId="77777777" w:rsidR="0088435F" w:rsidRPr="0088435F" w:rsidRDefault="0088435F">
            <w:pPr>
              <w:pStyle w:val="Names"/>
            </w:pPr>
          </w:p>
        </w:tc>
        <w:tc>
          <w:tcPr>
            <w:tcW w:w="1998" w:type="dxa"/>
            <w:tcBorders>
              <w:top w:val="nil"/>
              <w:left w:val="nil"/>
              <w:bottom w:val="nil"/>
              <w:right w:val="nil"/>
            </w:tcBorders>
            <w:shd w:val="clear" w:color="auto" w:fill="auto"/>
            <w:vAlign w:val="bottom"/>
          </w:tcPr>
          <w:p w14:paraId="60191DDB" w14:textId="77777777" w:rsidR="0088435F" w:rsidRPr="0088435F" w:rsidRDefault="0088435F">
            <w:pPr>
              <w:pStyle w:val="Names"/>
            </w:pPr>
            <w:r w:rsidRPr="006B60DB">
              <w:t>Serge</w:t>
            </w:r>
          </w:p>
        </w:tc>
        <w:tc>
          <w:tcPr>
            <w:tcW w:w="1980" w:type="dxa"/>
            <w:tcBorders>
              <w:top w:val="nil"/>
              <w:left w:val="nil"/>
              <w:bottom w:val="nil"/>
              <w:right w:val="nil"/>
            </w:tcBorders>
            <w:shd w:val="clear" w:color="auto" w:fill="auto"/>
            <w:vAlign w:val="bottom"/>
          </w:tcPr>
          <w:p w14:paraId="3E9B56C1" w14:textId="77777777" w:rsidR="0088435F" w:rsidRPr="0088435F" w:rsidRDefault="0088435F">
            <w:pPr>
              <w:pStyle w:val="Names"/>
            </w:pPr>
            <w:r w:rsidRPr="006B60DB">
              <w:t>Labbé</w:t>
            </w:r>
          </w:p>
        </w:tc>
        <w:tc>
          <w:tcPr>
            <w:tcW w:w="3870" w:type="dxa"/>
            <w:tcBorders>
              <w:top w:val="nil"/>
              <w:left w:val="nil"/>
              <w:bottom w:val="nil"/>
              <w:right w:val="nil"/>
            </w:tcBorders>
            <w:shd w:val="clear" w:color="auto" w:fill="auto"/>
            <w:vAlign w:val="bottom"/>
          </w:tcPr>
          <w:p w14:paraId="685BF364" w14:textId="77777777" w:rsidR="0088435F" w:rsidRPr="0088435F" w:rsidRDefault="0088435F">
            <w:pPr>
              <w:pStyle w:val="Names"/>
            </w:pPr>
            <w:r w:rsidRPr="006B60DB">
              <w:t>Héroux-Devtek Inc.</w:t>
            </w:r>
          </w:p>
        </w:tc>
        <w:tc>
          <w:tcPr>
            <w:tcW w:w="2160" w:type="dxa"/>
          </w:tcPr>
          <w:p w14:paraId="2A9535E5" w14:textId="77777777" w:rsidR="0088435F" w:rsidRPr="0088435F" w:rsidRDefault="0088435F">
            <w:pPr>
              <w:pStyle w:val="Names"/>
            </w:pPr>
          </w:p>
        </w:tc>
      </w:tr>
      <w:tr w:rsidR="0088435F" w:rsidRPr="0088435F" w14:paraId="05272974" w14:textId="77777777" w:rsidTr="006B60DB">
        <w:tc>
          <w:tcPr>
            <w:tcW w:w="295" w:type="dxa"/>
          </w:tcPr>
          <w:p w14:paraId="1C4AB28F" w14:textId="77777777" w:rsidR="0088435F" w:rsidRPr="0088435F" w:rsidRDefault="0088435F">
            <w:pPr>
              <w:pStyle w:val="Names"/>
            </w:pPr>
            <w:r>
              <w:t>*</w:t>
            </w:r>
          </w:p>
        </w:tc>
        <w:tc>
          <w:tcPr>
            <w:tcW w:w="1998" w:type="dxa"/>
            <w:tcBorders>
              <w:top w:val="nil"/>
              <w:left w:val="nil"/>
              <w:bottom w:val="nil"/>
              <w:right w:val="nil"/>
            </w:tcBorders>
            <w:shd w:val="clear" w:color="auto" w:fill="auto"/>
            <w:vAlign w:val="bottom"/>
          </w:tcPr>
          <w:p w14:paraId="78B0C85A" w14:textId="77777777" w:rsidR="0088435F" w:rsidRPr="0088435F" w:rsidRDefault="0088435F">
            <w:pPr>
              <w:pStyle w:val="Names"/>
            </w:pPr>
            <w:r w:rsidRPr="006B60DB">
              <w:t>Dan</w:t>
            </w:r>
          </w:p>
        </w:tc>
        <w:tc>
          <w:tcPr>
            <w:tcW w:w="1980" w:type="dxa"/>
            <w:tcBorders>
              <w:top w:val="nil"/>
              <w:left w:val="nil"/>
              <w:bottom w:val="nil"/>
              <w:right w:val="nil"/>
            </w:tcBorders>
            <w:shd w:val="clear" w:color="auto" w:fill="auto"/>
            <w:vAlign w:val="bottom"/>
          </w:tcPr>
          <w:p w14:paraId="31030B93" w14:textId="77777777" w:rsidR="0088435F" w:rsidRPr="0088435F" w:rsidRDefault="0088435F">
            <w:pPr>
              <w:pStyle w:val="Names"/>
            </w:pPr>
            <w:r w:rsidRPr="006B60DB">
              <w:t>Loveless</w:t>
            </w:r>
          </w:p>
        </w:tc>
        <w:tc>
          <w:tcPr>
            <w:tcW w:w="3870" w:type="dxa"/>
            <w:tcBorders>
              <w:top w:val="nil"/>
              <w:left w:val="nil"/>
              <w:bottom w:val="nil"/>
              <w:right w:val="nil"/>
            </w:tcBorders>
            <w:shd w:val="clear" w:color="auto" w:fill="auto"/>
            <w:vAlign w:val="bottom"/>
          </w:tcPr>
          <w:p w14:paraId="5CDFC903" w14:textId="77777777" w:rsidR="0088435F" w:rsidRPr="0088435F" w:rsidRDefault="0088435F">
            <w:pPr>
              <w:pStyle w:val="Names"/>
            </w:pPr>
            <w:r w:rsidRPr="006B60DB">
              <w:t>Parker Aerospace</w:t>
            </w:r>
            <w:r w:rsidR="00187EB5">
              <w:t xml:space="preserve"> Group</w:t>
            </w:r>
          </w:p>
        </w:tc>
        <w:tc>
          <w:tcPr>
            <w:tcW w:w="2160" w:type="dxa"/>
          </w:tcPr>
          <w:p w14:paraId="102F644A" w14:textId="77777777" w:rsidR="0088435F" w:rsidRPr="0088435F" w:rsidRDefault="0088435F">
            <w:pPr>
              <w:pStyle w:val="Names"/>
            </w:pPr>
          </w:p>
        </w:tc>
      </w:tr>
      <w:tr w:rsidR="0088435F" w:rsidRPr="0088435F" w14:paraId="331AD618" w14:textId="77777777" w:rsidTr="006B60DB">
        <w:trPr>
          <w:trHeight w:val="80"/>
        </w:trPr>
        <w:tc>
          <w:tcPr>
            <w:tcW w:w="295" w:type="dxa"/>
          </w:tcPr>
          <w:p w14:paraId="4A6DEDF4" w14:textId="77777777" w:rsidR="0088435F" w:rsidRPr="0088435F" w:rsidRDefault="0088435F">
            <w:pPr>
              <w:pStyle w:val="Names"/>
            </w:pPr>
            <w:r>
              <w:t>*</w:t>
            </w:r>
          </w:p>
        </w:tc>
        <w:tc>
          <w:tcPr>
            <w:tcW w:w="1998" w:type="dxa"/>
            <w:tcBorders>
              <w:top w:val="nil"/>
              <w:left w:val="nil"/>
              <w:bottom w:val="nil"/>
              <w:right w:val="nil"/>
            </w:tcBorders>
            <w:shd w:val="clear" w:color="auto" w:fill="auto"/>
            <w:vAlign w:val="bottom"/>
          </w:tcPr>
          <w:p w14:paraId="764E86EC" w14:textId="77777777" w:rsidR="0088435F" w:rsidRPr="0088435F" w:rsidRDefault="0088435F">
            <w:pPr>
              <w:pStyle w:val="Names"/>
            </w:pPr>
            <w:r w:rsidRPr="006B60DB">
              <w:t>Dennis</w:t>
            </w:r>
          </w:p>
        </w:tc>
        <w:tc>
          <w:tcPr>
            <w:tcW w:w="1980" w:type="dxa"/>
            <w:tcBorders>
              <w:top w:val="nil"/>
              <w:left w:val="nil"/>
              <w:bottom w:val="nil"/>
              <w:right w:val="nil"/>
            </w:tcBorders>
            <w:shd w:val="clear" w:color="auto" w:fill="auto"/>
            <w:vAlign w:val="bottom"/>
          </w:tcPr>
          <w:p w14:paraId="3D9B1168" w14:textId="77777777" w:rsidR="0088435F" w:rsidRPr="0088435F" w:rsidRDefault="0088435F">
            <w:pPr>
              <w:pStyle w:val="Names"/>
            </w:pPr>
            <w:r w:rsidRPr="006B60DB">
              <w:t>Meehan</w:t>
            </w:r>
          </w:p>
        </w:tc>
        <w:tc>
          <w:tcPr>
            <w:tcW w:w="3870" w:type="dxa"/>
            <w:tcBorders>
              <w:top w:val="nil"/>
              <w:left w:val="nil"/>
              <w:bottom w:val="nil"/>
              <w:right w:val="nil"/>
            </w:tcBorders>
            <w:shd w:val="clear" w:color="auto" w:fill="auto"/>
            <w:vAlign w:val="bottom"/>
          </w:tcPr>
          <w:p w14:paraId="00F79E6C" w14:textId="77777777" w:rsidR="0088435F" w:rsidRPr="0088435F" w:rsidRDefault="0088435F">
            <w:pPr>
              <w:pStyle w:val="Names"/>
            </w:pPr>
            <w:r w:rsidRPr="006B60DB">
              <w:t>Pratt &amp; Whitney</w:t>
            </w:r>
          </w:p>
        </w:tc>
        <w:tc>
          <w:tcPr>
            <w:tcW w:w="2160" w:type="dxa"/>
          </w:tcPr>
          <w:p w14:paraId="36854E55" w14:textId="77777777" w:rsidR="0088435F" w:rsidRPr="0088435F" w:rsidRDefault="0088435F">
            <w:pPr>
              <w:pStyle w:val="Names"/>
            </w:pPr>
          </w:p>
        </w:tc>
      </w:tr>
      <w:tr w:rsidR="0088435F" w:rsidRPr="0088435F" w14:paraId="264B5E25" w14:textId="77777777" w:rsidTr="006B60DB">
        <w:tc>
          <w:tcPr>
            <w:tcW w:w="295" w:type="dxa"/>
          </w:tcPr>
          <w:p w14:paraId="2794130A" w14:textId="77777777" w:rsidR="0088435F" w:rsidRPr="0088435F" w:rsidRDefault="0088435F">
            <w:pPr>
              <w:pStyle w:val="Names"/>
            </w:pPr>
          </w:p>
        </w:tc>
        <w:tc>
          <w:tcPr>
            <w:tcW w:w="1998" w:type="dxa"/>
            <w:tcBorders>
              <w:top w:val="nil"/>
              <w:left w:val="nil"/>
              <w:bottom w:val="nil"/>
              <w:right w:val="nil"/>
            </w:tcBorders>
            <w:shd w:val="clear" w:color="auto" w:fill="auto"/>
            <w:vAlign w:val="bottom"/>
          </w:tcPr>
          <w:p w14:paraId="76AB2293" w14:textId="77777777" w:rsidR="0088435F" w:rsidRPr="0088435F" w:rsidRDefault="0088435F">
            <w:pPr>
              <w:pStyle w:val="Names"/>
            </w:pPr>
            <w:r w:rsidRPr="006B60DB">
              <w:t>John</w:t>
            </w:r>
          </w:p>
        </w:tc>
        <w:tc>
          <w:tcPr>
            <w:tcW w:w="1980" w:type="dxa"/>
            <w:tcBorders>
              <w:top w:val="nil"/>
              <w:left w:val="nil"/>
              <w:bottom w:val="nil"/>
              <w:right w:val="nil"/>
            </w:tcBorders>
            <w:shd w:val="clear" w:color="auto" w:fill="auto"/>
            <w:vAlign w:val="bottom"/>
          </w:tcPr>
          <w:p w14:paraId="1E5A473B" w14:textId="77777777" w:rsidR="0088435F" w:rsidRPr="0088435F" w:rsidRDefault="0088435F">
            <w:pPr>
              <w:pStyle w:val="Names"/>
            </w:pPr>
            <w:r w:rsidRPr="006B60DB">
              <w:t>Merritt</w:t>
            </w:r>
          </w:p>
        </w:tc>
        <w:tc>
          <w:tcPr>
            <w:tcW w:w="3870" w:type="dxa"/>
            <w:tcBorders>
              <w:top w:val="nil"/>
              <w:left w:val="nil"/>
              <w:bottom w:val="nil"/>
              <w:right w:val="nil"/>
            </w:tcBorders>
            <w:shd w:val="clear" w:color="auto" w:fill="auto"/>
            <w:vAlign w:val="bottom"/>
          </w:tcPr>
          <w:p w14:paraId="086B7695" w14:textId="77777777" w:rsidR="0088435F" w:rsidRPr="0088435F" w:rsidRDefault="0088435F">
            <w:pPr>
              <w:pStyle w:val="Names"/>
            </w:pPr>
            <w:r w:rsidRPr="006B60DB">
              <w:t>Lockheed Martin Corp.</w:t>
            </w:r>
          </w:p>
        </w:tc>
        <w:tc>
          <w:tcPr>
            <w:tcW w:w="2160" w:type="dxa"/>
          </w:tcPr>
          <w:p w14:paraId="1DB0E4EF" w14:textId="77777777" w:rsidR="0088435F" w:rsidRPr="0088435F" w:rsidRDefault="0088435F">
            <w:pPr>
              <w:pStyle w:val="Names"/>
            </w:pPr>
          </w:p>
        </w:tc>
      </w:tr>
      <w:tr w:rsidR="0088435F" w:rsidRPr="0088435F" w14:paraId="60B33C1C" w14:textId="77777777" w:rsidTr="006B60DB">
        <w:tc>
          <w:tcPr>
            <w:tcW w:w="295" w:type="dxa"/>
          </w:tcPr>
          <w:p w14:paraId="3467898F" w14:textId="77777777" w:rsidR="0088435F" w:rsidRPr="0088435F" w:rsidRDefault="0088435F">
            <w:pPr>
              <w:pStyle w:val="Names"/>
            </w:pPr>
          </w:p>
        </w:tc>
        <w:tc>
          <w:tcPr>
            <w:tcW w:w="1998" w:type="dxa"/>
            <w:tcBorders>
              <w:top w:val="nil"/>
              <w:left w:val="nil"/>
              <w:bottom w:val="nil"/>
              <w:right w:val="nil"/>
            </w:tcBorders>
            <w:shd w:val="clear" w:color="auto" w:fill="auto"/>
            <w:vAlign w:val="bottom"/>
          </w:tcPr>
          <w:p w14:paraId="0314FDCE" w14:textId="77777777" w:rsidR="0088435F" w:rsidRPr="0088435F" w:rsidRDefault="0088435F">
            <w:pPr>
              <w:pStyle w:val="Names"/>
            </w:pPr>
            <w:r w:rsidRPr="006B60DB">
              <w:t>Joel</w:t>
            </w:r>
          </w:p>
        </w:tc>
        <w:tc>
          <w:tcPr>
            <w:tcW w:w="1980" w:type="dxa"/>
            <w:tcBorders>
              <w:top w:val="nil"/>
              <w:left w:val="nil"/>
              <w:bottom w:val="nil"/>
              <w:right w:val="nil"/>
            </w:tcBorders>
            <w:shd w:val="clear" w:color="auto" w:fill="auto"/>
            <w:vAlign w:val="bottom"/>
          </w:tcPr>
          <w:p w14:paraId="57598CEB" w14:textId="77777777" w:rsidR="0088435F" w:rsidRPr="0088435F" w:rsidRDefault="0088435F">
            <w:pPr>
              <w:pStyle w:val="Names"/>
            </w:pPr>
            <w:r w:rsidRPr="006B60DB">
              <w:t>Mohnacky</w:t>
            </w:r>
          </w:p>
        </w:tc>
        <w:tc>
          <w:tcPr>
            <w:tcW w:w="3870" w:type="dxa"/>
            <w:tcBorders>
              <w:top w:val="nil"/>
              <w:left w:val="nil"/>
              <w:bottom w:val="nil"/>
              <w:right w:val="nil"/>
            </w:tcBorders>
            <w:shd w:val="clear" w:color="auto" w:fill="auto"/>
            <w:vAlign w:val="bottom"/>
          </w:tcPr>
          <w:p w14:paraId="217FFF59" w14:textId="77777777" w:rsidR="0088435F" w:rsidRPr="0088435F" w:rsidRDefault="0088435F">
            <w:pPr>
              <w:pStyle w:val="Names"/>
            </w:pPr>
            <w:r w:rsidRPr="006B60DB">
              <w:t>UTC Aerospace (Hamilton Sundstrand)</w:t>
            </w:r>
          </w:p>
        </w:tc>
        <w:tc>
          <w:tcPr>
            <w:tcW w:w="2160" w:type="dxa"/>
          </w:tcPr>
          <w:p w14:paraId="4673B9FF" w14:textId="77777777" w:rsidR="0088435F" w:rsidRPr="0088435F" w:rsidRDefault="0088435F">
            <w:pPr>
              <w:pStyle w:val="Names"/>
            </w:pPr>
            <w:r>
              <w:t>Vice Chairperson</w:t>
            </w:r>
          </w:p>
        </w:tc>
      </w:tr>
      <w:tr w:rsidR="0088435F" w:rsidRPr="0088435F" w14:paraId="6B4E87BE" w14:textId="77777777" w:rsidTr="006B60DB">
        <w:tc>
          <w:tcPr>
            <w:tcW w:w="295" w:type="dxa"/>
          </w:tcPr>
          <w:p w14:paraId="5715DB28" w14:textId="77777777" w:rsidR="0088435F" w:rsidRPr="0088435F" w:rsidRDefault="0088435F">
            <w:pPr>
              <w:pStyle w:val="Names"/>
            </w:pPr>
            <w:r>
              <w:t>*</w:t>
            </w:r>
          </w:p>
        </w:tc>
        <w:tc>
          <w:tcPr>
            <w:tcW w:w="1998" w:type="dxa"/>
            <w:tcBorders>
              <w:top w:val="nil"/>
              <w:left w:val="nil"/>
              <w:bottom w:val="nil"/>
              <w:right w:val="nil"/>
            </w:tcBorders>
            <w:shd w:val="clear" w:color="auto" w:fill="auto"/>
            <w:vAlign w:val="bottom"/>
          </w:tcPr>
          <w:p w14:paraId="7C857754" w14:textId="77777777" w:rsidR="0088435F" w:rsidRPr="0088435F" w:rsidRDefault="0088435F">
            <w:pPr>
              <w:pStyle w:val="Names"/>
            </w:pPr>
            <w:r w:rsidRPr="006B60DB">
              <w:t>Udo</w:t>
            </w:r>
          </w:p>
        </w:tc>
        <w:tc>
          <w:tcPr>
            <w:tcW w:w="1980" w:type="dxa"/>
            <w:tcBorders>
              <w:top w:val="nil"/>
              <w:left w:val="nil"/>
              <w:bottom w:val="nil"/>
              <w:right w:val="nil"/>
            </w:tcBorders>
            <w:shd w:val="clear" w:color="auto" w:fill="auto"/>
            <w:vAlign w:val="bottom"/>
          </w:tcPr>
          <w:p w14:paraId="273FBDA4" w14:textId="77777777" w:rsidR="0088435F" w:rsidRPr="0088435F" w:rsidRDefault="0088435F">
            <w:pPr>
              <w:pStyle w:val="Names"/>
            </w:pPr>
            <w:r w:rsidRPr="006B60DB">
              <w:t>Schuelke</w:t>
            </w:r>
          </w:p>
        </w:tc>
        <w:tc>
          <w:tcPr>
            <w:tcW w:w="3870" w:type="dxa"/>
            <w:tcBorders>
              <w:top w:val="nil"/>
              <w:left w:val="nil"/>
              <w:bottom w:val="nil"/>
              <w:right w:val="nil"/>
            </w:tcBorders>
            <w:shd w:val="clear" w:color="auto" w:fill="auto"/>
            <w:vAlign w:val="bottom"/>
          </w:tcPr>
          <w:p w14:paraId="535AF440" w14:textId="77777777" w:rsidR="0088435F" w:rsidRPr="0088435F" w:rsidRDefault="0088435F">
            <w:pPr>
              <w:pStyle w:val="Names"/>
            </w:pPr>
            <w:r w:rsidRPr="006B60DB">
              <w:t>Honeywell Aerospace</w:t>
            </w:r>
          </w:p>
        </w:tc>
        <w:tc>
          <w:tcPr>
            <w:tcW w:w="2160" w:type="dxa"/>
          </w:tcPr>
          <w:p w14:paraId="63591384" w14:textId="77777777" w:rsidR="0088435F" w:rsidRPr="0088435F" w:rsidRDefault="0088435F">
            <w:pPr>
              <w:pStyle w:val="Names"/>
            </w:pPr>
            <w:r>
              <w:t>Chairperson</w:t>
            </w:r>
          </w:p>
        </w:tc>
      </w:tr>
      <w:tr w:rsidR="0088435F" w:rsidRPr="0088435F" w14:paraId="0FF7D1E9" w14:textId="77777777" w:rsidTr="006B60DB">
        <w:tc>
          <w:tcPr>
            <w:tcW w:w="295" w:type="dxa"/>
          </w:tcPr>
          <w:p w14:paraId="3EBA673B" w14:textId="77777777" w:rsidR="0088435F" w:rsidRPr="0088435F" w:rsidRDefault="0088435F">
            <w:pPr>
              <w:pStyle w:val="Names"/>
            </w:pPr>
            <w:r>
              <w:t>*</w:t>
            </w:r>
          </w:p>
        </w:tc>
        <w:tc>
          <w:tcPr>
            <w:tcW w:w="1998" w:type="dxa"/>
            <w:tcBorders>
              <w:top w:val="nil"/>
              <w:left w:val="nil"/>
              <w:bottom w:val="nil"/>
              <w:right w:val="nil"/>
            </w:tcBorders>
            <w:shd w:val="clear" w:color="auto" w:fill="auto"/>
            <w:vAlign w:val="bottom"/>
          </w:tcPr>
          <w:p w14:paraId="101708CB" w14:textId="77777777" w:rsidR="0088435F" w:rsidRPr="0088435F" w:rsidRDefault="0088435F">
            <w:pPr>
              <w:pStyle w:val="Names"/>
            </w:pPr>
            <w:r w:rsidRPr="006B60DB">
              <w:t>Jessica</w:t>
            </w:r>
          </w:p>
        </w:tc>
        <w:tc>
          <w:tcPr>
            <w:tcW w:w="1980" w:type="dxa"/>
            <w:tcBorders>
              <w:top w:val="nil"/>
              <w:left w:val="nil"/>
              <w:bottom w:val="nil"/>
              <w:right w:val="nil"/>
            </w:tcBorders>
            <w:shd w:val="clear" w:color="auto" w:fill="auto"/>
            <w:vAlign w:val="bottom"/>
          </w:tcPr>
          <w:p w14:paraId="5EB91CBA" w14:textId="77777777" w:rsidR="0088435F" w:rsidRPr="0088435F" w:rsidRDefault="0088435F">
            <w:pPr>
              <w:pStyle w:val="Names"/>
            </w:pPr>
            <w:r w:rsidRPr="006B60DB">
              <w:t>Shepard</w:t>
            </w:r>
          </w:p>
        </w:tc>
        <w:tc>
          <w:tcPr>
            <w:tcW w:w="3870" w:type="dxa"/>
            <w:tcBorders>
              <w:top w:val="nil"/>
              <w:left w:val="nil"/>
              <w:bottom w:val="nil"/>
              <w:right w:val="nil"/>
            </w:tcBorders>
            <w:shd w:val="clear" w:color="auto" w:fill="auto"/>
            <w:vAlign w:val="bottom"/>
          </w:tcPr>
          <w:p w14:paraId="7E8FE242" w14:textId="77777777" w:rsidR="0088435F" w:rsidRPr="0088435F" w:rsidRDefault="0088435F">
            <w:pPr>
              <w:pStyle w:val="Names"/>
            </w:pPr>
            <w:r w:rsidRPr="006B60DB">
              <w:t>GE Aviation</w:t>
            </w:r>
          </w:p>
        </w:tc>
        <w:tc>
          <w:tcPr>
            <w:tcW w:w="2160" w:type="dxa"/>
          </w:tcPr>
          <w:p w14:paraId="70E8043F" w14:textId="77777777" w:rsidR="0088435F" w:rsidRPr="0088435F" w:rsidRDefault="0088435F">
            <w:pPr>
              <w:pStyle w:val="Names"/>
            </w:pPr>
          </w:p>
        </w:tc>
      </w:tr>
      <w:tr w:rsidR="0088435F" w:rsidRPr="0088435F" w14:paraId="200A9CC0" w14:textId="77777777" w:rsidTr="006B60DB">
        <w:tc>
          <w:tcPr>
            <w:tcW w:w="295" w:type="dxa"/>
          </w:tcPr>
          <w:p w14:paraId="313C9636" w14:textId="77777777" w:rsidR="0088435F" w:rsidRPr="0088435F" w:rsidRDefault="0088435F">
            <w:pPr>
              <w:pStyle w:val="Names"/>
            </w:pPr>
          </w:p>
        </w:tc>
        <w:tc>
          <w:tcPr>
            <w:tcW w:w="1998" w:type="dxa"/>
            <w:tcBorders>
              <w:top w:val="nil"/>
              <w:left w:val="nil"/>
              <w:bottom w:val="nil"/>
              <w:right w:val="nil"/>
            </w:tcBorders>
            <w:shd w:val="clear" w:color="auto" w:fill="auto"/>
            <w:vAlign w:val="bottom"/>
          </w:tcPr>
          <w:p w14:paraId="7C5B62CA" w14:textId="77777777" w:rsidR="0088435F" w:rsidRPr="0088435F" w:rsidRDefault="0088435F">
            <w:pPr>
              <w:pStyle w:val="Names"/>
            </w:pPr>
            <w:r w:rsidRPr="006B60DB">
              <w:t>Tetyana</w:t>
            </w:r>
          </w:p>
        </w:tc>
        <w:tc>
          <w:tcPr>
            <w:tcW w:w="1980" w:type="dxa"/>
            <w:tcBorders>
              <w:top w:val="nil"/>
              <w:left w:val="nil"/>
              <w:bottom w:val="nil"/>
              <w:right w:val="nil"/>
            </w:tcBorders>
            <w:shd w:val="clear" w:color="auto" w:fill="auto"/>
            <w:vAlign w:val="bottom"/>
          </w:tcPr>
          <w:p w14:paraId="58E9E308" w14:textId="77777777" w:rsidR="0088435F" w:rsidRPr="0088435F" w:rsidRDefault="0088435F">
            <w:pPr>
              <w:pStyle w:val="Names"/>
            </w:pPr>
            <w:r w:rsidRPr="006B60DB">
              <w:t>Shmyreva</w:t>
            </w:r>
          </w:p>
        </w:tc>
        <w:tc>
          <w:tcPr>
            <w:tcW w:w="3870" w:type="dxa"/>
            <w:tcBorders>
              <w:top w:val="nil"/>
              <w:left w:val="nil"/>
              <w:bottom w:val="nil"/>
              <w:right w:val="nil"/>
            </w:tcBorders>
            <w:shd w:val="clear" w:color="auto" w:fill="auto"/>
            <w:vAlign w:val="bottom"/>
          </w:tcPr>
          <w:p w14:paraId="1FB7894B" w14:textId="77777777" w:rsidR="0088435F" w:rsidRPr="0088435F" w:rsidRDefault="0088435F">
            <w:pPr>
              <w:pStyle w:val="Names"/>
            </w:pPr>
            <w:r w:rsidRPr="006B60DB">
              <w:t>Rolls-Royce</w:t>
            </w:r>
          </w:p>
        </w:tc>
        <w:tc>
          <w:tcPr>
            <w:tcW w:w="2160" w:type="dxa"/>
          </w:tcPr>
          <w:p w14:paraId="5F1ABE7D" w14:textId="77777777" w:rsidR="0088435F" w:rsidRPr="0088435F" w:rsidRDefault="0088435F">
            <w:pPr>
              <w:pStyle w:val="Names"/>
            </w:pPr>
          </w:p>
        </w:tc>
      </w:tr>
      <w:tr w:rsidR="0088435F" w:rsidRPr="0088435F" w14:paraId="30E21475" w14:textId="77777777" w:rsidTr="006B60DB">
        <w:tc>
          <w:tcPr>
            <w:tcW w:w="295" w:type="dxa"/>
          </w:tcPr>
          <w:p w14:paraId="522C3556" w14:textId="77777777" w:rsidR="0088435F" w:rsidRPr="0088435F" w:rsidRDefault="0088435F">
            <w:pPr>
              <w:pStyle w:val="Names"/>
            </w:pPr>
          </w:p>
        </w:tc>
        <w:tc>
          <w:tcPr>
            <w:tcW w:w="1998" w:type="dxa"/>
            <w:tcBorders>
              <w:top w:val="nil"/>
              <w:left w:val="nil"/>
              <w:bottom w:val="nil"/>
              <w:right w:val="nil"/>
            </w:tcBorders>
            <w:shd w:val="clear" w:color="auto" w:fill="auto"/>
            <w:vAlign w:val="bottom"/>
          </w:tcPr>
          <w:p w14:paraId="0506F7F1" w14:textId="77777777" w:rsidR="0088435F" w:rsidRPr="0088435F" w:rsidRDefault="0088435F">
            <w:pPr>
              <w:pStyle w:val="Names"/>
            </w:pPr>
            <w:r w:rsidRPr="006B60DB">
              <w:t>Ranganathan</w:t>
            </w:r>
          </w:p>
        </w:tc>
        <w:tc>
          <w:tcPr>
            <w:tcW w:w="1980" w:type="dxa"/>
            <w:tcBorders>
              <w:top w:val="nil"/>
              <w:left w:val="nil"/>
              <w:bottom w:val="nil"/>
              <w:right w:val="nil"/>
            </w:tcBorders>
            <w:shd w:val="clear" w:color="auto" w:fill="auto"/>
            <w:vAlign w:val="bottom"/>
          </w:tcPr>
          <w:p w14:paraId="776287E7" w14:textId="77777777" w:rsidR="0088435F" w:rsidRPr="0088435F" w:rsidRDefault="0088435F">
            <w:pPr>
              <w:pStyle w:val="Names"/>
            </w:pPr>
            <w:r w:rsidRPr="006B60DB">
              <w:t>Srinivasan</w:t>
            </w:r>
          </w:p>
        </w:tc>
        <w:tc>
          <w:tcPr>
            <w:tcW w:w="3870" w:type="dxa"/>
            <w:tcBorders>
              <w:top w:val="nil"/>
              <w:left w:val="nil"/>
              <w:bottom w:val="nil"/>
              <w:right w:val="nil"/>
            </w:tcBorders>
            <w:shd w:val="clear" w:color="auto" w:fill="auto"/>
            <w:vAlign w:val="bottom"/>
          </w:tcPr>
          <w:p w14:paraId="1A04A155" w14:textId="77777777" w:rsidR="0088435F" w:rsidRPr="0088435F" w:rsidRDefault="0088435F">
            <w:pPr>
              <w:pStyle w:val="Names"/>
            </w:pPr>
            <w:r w:rsidRPr="006B60DB">
              <w:t>ST Aerospace Ltd.</w:t>
            </w:r>
          </w:p>
        </w:tc>
        <w:tc>
          <w:tcPr>
            <w:tcW w:w="2160" w:type="dxa"/>
          </w:tcPr>
          <w:p w14:paraId="3EADE975" w14:textId="77777777" w:rsidR="0088435F" w:rsidRPr="0088435F" w:rsidRDefault="0088435F">
            <w:pPr>
              <w:pStyle w:val="Names"/>
            </w:pPr>
          </w:p>
        </w:tc>
      </w:tr>
      <w:tr w:rsidR="0088435F" w:rsidRPr="0088435F" w14:paraId="2BC49ADF" w14:textId="77777777" w:rsidTr="006B60DB">
        <w:tc>
          <w:tcPr>
            <w:tcW w:w="295" w:type="dxa"/>
          </w:tcPr>
          <w:p w14:paraId="6C379602" w14:textId="77777777" w:rsidR="0088435F" w:rsidRPr="0088435F" w:rsidRDefault="0088435F">
            <w:pPr>
              <w:pStyle w:val="Names"/>
            </w:pPr>
            <w:r>
              <w:t>*</w:t>
            </w:r>
          </w:p>
        </w:tc>
        <w:tc>
          <w:tcPr>
            <w:tcW w:w="1998" w:type="dxa"/>
            <w:tcBorders>
              <w:top w:val="nil"/>
              <w:left w:val="nil"/>
              <w:bottom w:val="nil"/>
              <w:right w:val="nil"/>
            </w:tcBorders>
            <w:shd w:val="clear" w:color="auto" w:fill="auto"/>
            <w:vAlign w:val="bottom"/>
          </w:tcPr>
          <w:p w14:paraId="2B82ABD6" w14:textId="77777777" w:rsidR="0088435F" w:rsidRPr="0088435F" w:rsidRDefault="0088435F">
            <w:pPr>
              <w:pStyle w:val="Names"/>
            </w:pPr>
            <w:r w:rsidRPr="006B60DB">
              <w:t>Jan</w:t>
            </w:r>
          </w:p>
        </w:tc>
        <w:tc>
          <w:tcPr>
            <w:tcW w:w="1980" w:type="dxa"/>
            <w:tcBorders>
              <w:top w:val="nil"/>
              <w:left w:val="nil"/>
              <w:bottom w:val="nil"/>
              <w:right w:val="nil"/>
            </w:tcBorders>
            <w:shd w:val="clear" w:color="auto" w:fill="auto"/>
            <w:vAlign w:val="bottom"/>
          </w:tcPr>
          <w:p w14:paraId="4F06F3CD" w14:textId="77777777" w:rsidR="0088435F" w:rsidRPr="0088435F" w:rsidRDefault="0088435F">
            <w:pPr>
              <w:pStyle w:val="Names"/>
            </w:pPr>
            <w:r w:rsidRPr="006B60DB">
              <w:t>Wigren</w:t>
            </w:r>
          </w:p>
        </w:tc>
        <w:tc>
          <w:tcPr>
            <w:tcW w:w="3870" w:type="dxa"/>
            <w:tcBorders>
              <w:top w:val="nil"/>
              <w:left w:val="nil"/>
              <w:bottom w:val="nil"/>
              <w:right w:val="nil"/>
            </w:tcBorders>
            <w:shd w:val="clear" w:color="auto" w:fill="auto"/>
            <w:vAlign w:val="bottom"/>
          </w:tcPr>
          <w:p w14:paraId="58C3EF1D" w14:textId="77777777" w:rsidR="0088435F" w:rsidRPr="0088435F" w:rsidRDefault="0088435F">
            <w:pPr>
              <w:pStyle w:val="Names"/>
            </w:pPr>
            <w:r w:rsidRPr="006B60DB">
              <w:t>GKN Aerospace Sweden AB</w:t>
            </w:r>
          </w:p>
        </w:tc>
        <w:tc>
          <w:tcPr>
            <w:tcW w:w="2160" w:type="dxa"/>
          </w:tcPr>
          <w:p w14:paraId="6FB91E19" w14:textId="77777777" w:rsidR="0088435F" w:rsidRPr="0088435F" w:rsidRDefault="0088435F">
            <w:pPr>
              <w:pStyle w:val="Names"/>
            </w:pPr>
          </w:p>
        </w:tc>
      </w:tr>
    </w:tbl>
    <w:p w14:paraId="3076252B"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14:paraId="34105F15" w14:textId="77777777" w:rsidTr="0072739C">
        <w:tc>
          <w:tcPr>
            <w:tcW w:w="295" w:type="dxa"/>
          </w:tcPr>
          <w:p w14:paraId="3F7CB963" w14:textId="77777777" w:rsidR="00272E48" w:rsidRPr="00FA0B5E" w:rsidRDefault="00272E48" w:rsidP="003A4D04">
            <w:pPr>
              <w:pStyle w:val="Names"/>
            </w:pPr>
          </w:p>
        </w:tc>
        <w:tc>
          <w:tcPr>
            <w:tcW w:w="1998" w:type="dxa"/>
          </w:tcPr>
          <w:p w14:paraId="2EE0F1D8" w14:textId="77777777" w:rsidR="00272E48" w:rsidRPr="00FA0B5E" w:rsidRDefault="00272E48" w:rsidP="003A4D04">
            <w:pPr>
              <w:pStyle w:val="Names"/>
            </w:pPr>
            <w:r w:rsidRPr="00FA0B5E">
              <w:t>NAME</w:t>
            </w:r>
          </w:p>
        </w:tc>
        <w:tc>
          <w:tcPr>
            <w:tcW w:w="1980" w:type="dxa"/>
          </w:tcPr>
          <w:p w14:paraId="06AAAE02" w14:textId="77777777" w:rsidR="00272E48" w:rsidRPr="00FA0B5E" w:rsidRDefault="00272E48" w:rsidP="003A4D04">
            <w:pPr>
              <w:pStyle w:val="Names"/>
            </w:pPr>
          </w:p>
        </w:tc>
        <w:tc>
          <w:tcPr>
            <w:tcW w:w="3870" w:type="dxa"/>
          </w:tcPr>
          <w:p w14:paraId="5CE24197" w14:textId="77777777" w:rsidR="00272E48" w:rsidRPr="00FA0B5E" w:rsidRDefault="00272E48" w:rsidP="003A4D04">
            <w:pPr>
              <w:pStyle w:val="Names"/>
            </w:pPr>
            <w:r w:rsidRPr="00FA0B5E">
              <w:t>COMPANY NAME</w:t>
            </w:r>
          </w:p>
        </w:tc>
        <w:tc>
          <w:tcPr>
            <w:tcW w:w="2160" w:type="dxa"/>
          </w:tcPr>
          <w:p w14:paraId="6EFB26E7" w14:textId="77777777" w:rsidR="00272E48" w:rsidRPr="00FA0B5E" w:rsidRDefault="00272E48" w:rsidP="003A4D04">
            <w:pPr>
              <w:pStyle w:val="Names"/>
            </w:pPr>
          </w:p>
        </w:tc>
      </w:tr>
      <w:tr w:rsidR="00272E48" w:rsidRPr="00FA0B5E" w14:paraId="19B32F0C" w14:textId="77777777" w:rsidTr="0072739C">
        <w:tc>
          <w:tcPr>
            <w:tcW w:w="295" w:type="dxa"/>
          </w:tcPr>
          <w:p w14:paraId="731C8982" w14:textId="77777777" w:rsidR="00272E48" w:rsidRPr="00FA0B5E" w:rsidRDefault="00272E48" w:rsidP="003A4D04">
            <w:pPr>
              <w:pStyle w:val="Names"/>
            </w:pPr>
          </w:p>
        </w:tc>
        <w:tc>
          <w:tcPr>
            <w:tcW w:w="1998" w:type="dxa"/>
          </w:tcPr>
          <w:p w14:paraId="28D43B1C" w14:textId="77777777" w:rsidR="00272E48" w:rsidRPr="00FA0B5E" w:rsidRDefault="00272E48" w:rsidP="003A4D04">
            <w:pPr>
              <w:pStyle w:val="Names"/>
            </w:pPr>
          </w:p>
        </w:tc>
        <w:tc>
          <w:tcPr>
            <w:tcW w:w="1980" w:type="dxa"/>
          </w:tcPr>
          <w:p w14:paraId="70EC76D0" w14:textId="77777777" w:rsidR="00272E48" w:rsidRPr="00FA0B5E" w:rsidRDefault="00272E48" w:rsidP="003A4D04">
            <w:pPr>
              <w:pStyle w:val="Names"/>
            </w:pPr>
          </w:p>
        </w:tc>
        <w:tc>
          <w:tcPr>
            <w:tcW w:w="3870" w:type="dxa"/>
          </w:tcPr>
          <w:p w14:paraId="3A96FB01" w14:textId="77777777" w:rsidR="00272E48" w:rsidRPr="00FA0B5E" w:rsidRDefault="00272E48" w:rsidP="003A4D04">
            <w:pPr>
              <w:pStyle w:val="Names"/>
            </w:pPr>
          </w:p>
        </w:tc>
        <w:tc>
          <w:tcPr>
            <w:tcW w:w="2160" w:type="dxa"/>
          </w:tcPr>
          <w:p w14:paraId="4D282F80" w14:textId="77777777" w:rsidR="00272E48" w:rsidRPr="00FA0B5E" w:rsidRDefault="00272E48" w:rsidP="003A4D04">
            <w:pPr>
              <w:pStyle w:val="Names"/>
            </w:pPr>
          </w:p>
        </w:tc>
      </w:tr>
      <w:tr w:rsidR="0088435F" w:rsidRPr="0088435F" w14:paraId="2F0BCC5D" w14:textId="77777777" w:rsidTr="006B60DB">
        <w:tc>
          <w:tcPr>
            <w:tcW w:w="295" w:type="dxa"/>
          </w:tcPr>
          <w:p w14:paraId="0A20A845" w14:textId="77777777" w:rsidR="0088435F" w:rsidRPr="0088435F" w:rsidRDefault="0088435F">
            <w:pPr>
              <w:pStyle w:val="Names"/>
            </w:pPr>
          </w:p>
        </w:tc>
        <w:tc>
          <w:tcPr>
            <w:tcW w:w="1998" w:type="dxa"/>
            <w:tcBorders>
              <w:top w:val="nil"/>
              <w:left w:val="nil"/>
              <w:bottom w:val="nil"/>
              <w:right w:val="nil"/>
            </w:tcBorders>
            <w:shd w:val="clear" w:color="auto" w:fill="auto"/>
            <w:vAlign w:val="bottom"/>
          </w:tcPr>
          <w:p w14:paraId="21E4086E" w14:textId="77777777" w:rsidR="0088435F" w:rsidRPr="0088435F" w:rsidRDefault="0088435F">
            <w:pPr>
              <w:pStyle w:val="Names"/>
            </w:pPr>
            <w:r w:rsidRPr="006B60DB">
              <w:t>Steve</w:t>
            </w:r>
          </w:p>
        </w:tc>
        <w:tc>
          <w:tcPr>
            <w:tcW w:w="1980" w:type="dxa"/>
            <w:tcBorders>
              <w:top w:val="nil"/>
              <w:left w:val="nil"/>
              <w:bottom w:val="nil"/>
              <w:right w:val="nil"/>
            </w:tcBorders>
            <w:shd w:val="clear" w:color="auto" w:fill="auto"/>
            <w:vAlign w:val="bottom"/>
          </w:tcPr>
          <w:p w14:paraId="442421A1" w14:textId="77777777" w:rsidR="0088435F" w:rsidRPr="0088435F" w:rsidRDefault="0088435F">
            <w:pPr>
              <w:pStyle w:val="Names"/>
            </w:pPr>
            <w:r w:rsidRPr="006B60DB">
              <w:t>Connally</w:t>
            </w:r>
          </w:p>
        </w:tc>
        <w:tc>
          <w:tcPr>
            <w:tcW w:w="3870" w:type="dxa"/>
            <w:tcBorders>
              <w:top w:val="nil"/>
              <w:left w:val="nil"/>
              <w:bottom w:val="nil"/>
              <w:right w:val="nil"/>
            </w:tcBorders>
            <w:shd w:val="clear" w:color="auto" w:fill="auto"/>
            <w:vAlign w:val="bottom"/>
          </w:tcPr>
          <w:p w14:paraId="392AE3C6" w14:textId="77777777" w:rsidR="0088435F" w:rsidRPr="0088435F" w:rsidRDefault="0088435F">
            <w:pPr>
              <w:pStyle w:val="Names"/>
            </w:pPr>
            <w:r w:rsidRPr="006B60DB">
              <w:t>Curtiss-Wright</w:t>
            </w:r>
          </w:p>
        </w:tc>
        <w:tc>
          <w:tcPr>
            <w:tcW w:w="2160" w:type="dxa"/>
            <w:tcMar>
              <w:right w:w="0" w:type="dxa"/>
            </w:tcMar>
          </w:tcPr>
          <w:p w14:paraId="3D70E4F1" w14:textId="77777777" w:rsidR="0088435F" w:rsidRPr="0088435F" w:rsidRDefault="0088435F">
            <w:pPr>
              <w:pStyle w:val="Names"/>
            </w:pPr>
          </w:p>
        </w:tc>
      </w:tr>
      <w:tr w:rsidR="0088435F" w:rsidRPr="0088435F" w14:paraId="7ADB472A" w14:textId="77777777" w:rsidTr="006B60DB">
        <w:tc>
          <w:tcPr>
            <w:tcW w:w="295" w:type="dxa"/>
          </w:tcPr>
          <w:p w14:paraId="72ABEB51" w14:textId="77777777" w:rsidR="0088435F" w:rsidRPr="0088435F" w:rsidRDefault="000E5BBB">
            <w:pPr>
              <w:pStyle w:val="Names"/>
            </w:pPr>
            <w:r>
              <w:t>*</w:t>
            </w:r>
          </w:p>
        </w:tc>
        <w:tc>
          <w:tcPr>
            <w:tcW w:w="1998" w:type="dxa"/>
            <w:tcBorders>
              <w:top w:val="nil"/>
              <w:left w:val="nil"/>
              <w:bottom w:val="nil"/>
              <w:right w:val="nil"/>
            </w:tcBorders>
            <w:shd w:val="clear" w:color="auto" w:fill="auto"/>
            <w:vAlign w:val="bottom"/>
          </w:tcPr>
          <w:p w14:paraId="486F72F8" w14:textId="77777777" w:rsidR="0088435F" w:rsidRPr="0088435F" w:rsidRDefault="0088435F">
            <w:pPr>
              <w:pStyle w:val="Names"/>
            </w:pPr>
            <w:r w:rsidRPr="006B60DB">
              <w:t>Dale</w:t>
            </w:r>
          </w:p>
        </w:tc>
        <w:tc>
          <w:tcPr>
            <w:tcW w:w="1980" w:type="dxa"/>
            <w:tcBorders>
              <w:top w:val="nil"/>
              <w:left w:val="nil"/>
              <w:bottom w:val="nil"/>
              <w:right w:val="nil"/>
            </w:tcBorders>
            <w:shd w:val="clear" w:color="auto" w:fill="auto"/>
            <w:vAlign w:val="bottom"/>
          </w:tcPr>
          <w:p w14:paraId="769A6756" w14:textId="77777777" w:rsidR="0088435F" w:rsidRPr="0088435F" w:rsidRDefault="0088435F">
            <w:pPr>
              <w:pStyle w:val="Names"/>
            </w:pPr>
            <w:r w:rsidRPr="006B60DB">
              <w:t>Harmon</w:t>
            </w:r>
          </w:p>
        </w:tc>
        <w:tc>
          <w:tcPr>
            <w:tcW w:w="3870" w:type="dxa"/>
            <w:tcBorders>
              <w:top w:val="nil"/>
              <w:left w:val="nil"/>
              <w:bottom w:val="nil"/>
              <w:right w:val="nil"/>
            </w:tcBorders>
            <w:shd w:val="clear" w:color="auto" w:fill="auto"/>
            <w:vAlign w:val="bottom"/>
          </w:tcPr>
          <w:p w14:paraId="1C7B46E1" w14:textId="77777777" w:rsidR="0088435F" w:rsidRPr="0088435F" w:rsidRDefault="0088435F">
            <w:pPr>
              <w:pStyle w:val="Names"/>
            </w:pPr>
            <w:r w:rsidRPr="006B60DB">
              <w:t>Cincinnati Thermal Spray</w:t>
            </w:r>
          </w:p>
        </w:tc>
        <w:tc>
          <w:tcPr>
            <w:tcW w:w="2160" w:type="dxa"/>
          </w:tcPr>
          <w:p w14:paraId="405AEA4C" w14:textId="77777777" w:rsidR="0088435F" w:rsidRPr="0088435F" w:rsidRDefault="0088435F">
            <w:pPr>
              <w:pStyle w:val="Names"/>
            </w:pPr>
            <w:r>
              <w:t>Secretary</w:t>
            </w:r>
          </w:p>
        </w:tc>
      </w:tr>
      <w:tr w:rsidR="0088435F" w:rsidRPr="0088435F" w14:paraId="7582D1C0" w14:textId="77777777" w:rsidTr="006B60DB">
        <w:tc>
          <w:tcPr>
            <w:tcW w:w="295" w:type="dxa"/>
          </w:tcPr>
          <w:p w14:paraId="49460321" w14:textId="77777777" w:rsidR="0088435F" w:rsidRPr="0088435F" w:rsidRDefault="0088435F">
            <w:pPr>
              <w:pStyle w:val="Names"/>
            </w:pPr>
          </w:p>
        </w:tc>
        <w:tc>
          <w:tcPr>
            <w:tcW w:w="1998" w:type="dxa"/>
            <w:tcBorders>
              <w:top w:val="nil"/>
              <w:left w:val="nil"/>
              <w:bottom w:val="nil"/>
              <w:right w:val="nil"/>
            </w:tcBorders>
            <w:shd w:val="clear" w:color="auto" w:fill="auto"/>
            <w:vAlign w:val="bottom"/>
          </w:tcPr>
          <w:p w14:paraId="1DF2DFFC" w14:textId="77777777" w:rsidR="0088435F" w:rsidRPr="0088435F" w:rsidRDefault="0088435F">
            <w:pPr>
              <w:pStyle w:val="Names"/>
            </w:pPr>
            <w:r w:rsidRPr="006B60DB">
              <w:t>Kazuhiko</w:t>
            </w:r>
          </w:p>
        </w:tc>
        <w:tc>
          <w:tcPr>
            <w:tcW w:w="1980" w:type="dxa"/>
            <w:tcBorders>
              <w:top w:val="nil"/>
              <w:left w:val="nil"/>
              <w:bottom w:val="nil"/>
              <w:right w:val="nil"/>
            </w:tcBorders>
            <w:shd w:val="clear" w:color="auto" w:fill="auto"/>
            <w:vAlign w:val="bottom"/>
          </w:tcPr>
          <w:p w14:paraId="0987759B" w14:textId="77777777" w:rsidR="0088435F" w:rsidRPr="0088435F" w:rsidRDefault="0088435F">
            <w:pPr>
              <w:pStyle w:val="Names"/>
            </w:pPr>
            <w:r w:rsidRPr="006B60DB">
              <w:t>Kakinuma</w:t>
            </w:r>
          </w:p>
        </w:tc>
        <w:tc>
          <w:tcPr>
            <w:tcW w:w="3870" w:type="dxa"/>
            <w:tcBorders>
              <w:top w:val="nil"/>
              <w:left w:val="nil"/>
              <w:bottom w:val="nil"/>
              <w:right w:val="nil"/>
            </w:tcBorders>
            <w:shd w:val="clear" w:color="auto" w:fill="auto"/>
            <w:vAlign w:val="bottom"/>
          </w:tcPr>
          <w:p w14:paraId="2CB7717C" w14:textId="77777777" w:rsidR="0088435F" w:rsidRPr="0088435F" w:rsidRDefault="0088435F">
            <w:pPr>
              <w:pStyle w:val="Names"/>
            </w:pPr>
            <w:r w:rsidRPr="006B60DB">
              <w:t>IHI Corporation</w:t>
            </w:r>
          </w:p>
        </w:tc>
        <w:tc>
          <w:tcPr>
            <w:tcW w:w="2160" w:type="dxa"/>
          </w:tcPr>
          <w:p w14:paraId="1489620A" w14:textId="77777777" w:rsidR="0088435F" w:rsidRPr="0088435F" w:rsidRDefault="0088435F">
            <w:pPr>
              <w:pStyle w:val="Names"/>
            </w:pPr>
          </w:p>
        </w:tc>
      </w:tr>
      <w:tr w:rsidR="0088435F" w:rsidRPr="0088435F" w14:paraId="77620D35" w14:textId="77777777" w:rsidTr="006B60DB">
        <w:tc>
          <w:tcPr>
            <w:tcW w:w="295" w:type="dxa"/>
          </w:tcPr>
          <w:p w14:paraId="36B5B4D4" w14:textId="77777777" w:rsidR="0088435F" w:rsidRPr="0088435F" w:rsidRDefault="000E5BBB">
            <w:pPr>
              <w:pStyle w:val="Names"/>
            </w:pPr>
            <w:r>
              <w:t>*</w:t>
            </w:r>
          </w:p>
        </w:tc>
        <w:tc>
          <w:tcPr>
            <w:tcW w:w="1998" w:type="dxa"/>
            <w:tcBorders>
              <w:top w:val="nil"/>
              <w:left w:val="nil"/>
              <w:bottom w:val="nil"/>
              <w:right w:val="nil"/>
            </w:tcBorders>
            <w:shd w:val="clear" w:color="auto" w:fill="auto"/>
            <w:vAlign w:val="bottom"/>
          </w:tcPr>
          <w:p w14:paraId="73E6E914" w14:textId="77777777" w:rsidR="0088435F" w:rsidRPr="0088435F" w:rsidRDefault="0088435F">
            <w:pPr>
              <w:pStyle w:val="Names"/>
            </w:pPr>
            <w:r w:rsidRPr="006B60DB">
              <w:t>Martin</w:t>
            </w:r>
          </w:p>
        </w:tc>
        <w:tc>
          <w:tcPr>
            <w:tcW w:w="1980" w:type="dxa"/>
            <w:tcBorders>
              <w:top w:val="nil"/>
              <w:left w:val="nil"/>
              <w:bottom w:val="nil"/>
              <w:right w:val="nil"/>
            </w:tcBorders>
            <w:shd w:val="clear" w:color="auto" w:fill="auto"/>
            <w:vAlign w:val="bottom"/>
          </w:tcPr>
          <w:p w14:paraId="7C8889B7" w14:textId="77777777" w:rsidR="0088435F" w:rsidRPr="0088435F" w:rsidRDefault="0088435F">
            <w:pPr>
              <w:pStyle w:val="Names"/>
            </w:pPr>
            <w:r w:rsidRPr="006B60DB">
              <w:t>La</w:t>
            </w:r>
            <w:r w:rsidR="000E5BBB">
              <w:t>P</w:t>
            </w:r>
            <w:r w:rsidRPr="006B60DB">
              <w:t>ierre</w:t>
            </w:r>
          </w:p>
        </w:tc>
        <w:tc>
          <w:tcPr>
            <w:tcW w:w="3870" w:type="dxa"/>
            <w:tcBorders>
              <w:top w:val="nil"/>
              <w:left w:val="nil"/>
              <w:bottom w:val="nil"/>
              <w:right w:val="nil"/>
            </w:tcBorders>
            <w:shd w:val="clear" w:color="auto" w:fill="auto"/>
            <w:vAlign w:val="bottom"/>
          </w:tcPr>
          <w:p w14:paraId="1D182F96" w14:textId="77777777" w:rsidR="0088435F" w:rsidRPr="0088435F" w:rsidRDefault="0088435F">
            <w:pPr>
              <w:pStyle w:val="Names"/>
            </w:pPr>
            <w:r w:rsidRPr="006B60DB">
              <w:t>Technologies de Surface Ellison Canada</w:t>
            </w:r>
          </w:p>
        </w:tc>
        <w:tc>
          <w:tcPr>
            <w:tcW w:w="2160" w:type="dxa"/>
          </w:tcPr>
          <w:p w14:paraId="43E65BF1" w14:textId="77777777" w:rsidR="0088435F" w:rsidRPr="0088435F" w:rsidRDefault="0088435F">
            <w:pPr>
              <w:pStyle w:val="Names"/>
            </w:pPr>
          </w:p>
        </w:tc>
      </w:tr>
      <w:tr w:rsidR="0088435F" w:rsidRPr="0088435F" w14:paraId="428C0D70" w14:textId="77777777" w:rsidTr="006B60DB">
        <w:tc>
          <w:tcPr>
            <w:tcW w:w="295" w:type="dxa"/>
          </w:tcPr>
          <w:p w14:paraId="07A1903C" w14:textId="77777777" w:rsidR="0088435F" w:rsidRPr="0088435F" w:rsidRDefault="0088435F">
            <w:pPr>
              <w:pStyle w:val="Names"/>
            </w:pPr>
          </w:p>
        </w:tc>
        <w:tc>
          <w:tcPr>
            <w:tcW w:w="1998" w:type="dxa"/>
            <w:tcBorders>
              <w:top w:val="nil"/>
              <w:left w:val="nil"/>
              <w:bottom w:val="nil"/>
              <w:right w:val="nil"/>
            </w:tcBorders>
            <w:shd w:val="clear" w:color="auto" w:fill="auto"/>
            <w:vAlign w:val="bottom"/>
          </w:tcPr>
          <w:p w14:paraId="5C270983" w14:textId="77777777" w:rsidR="0088435F" w:rsidRPr="0088435F" w:rsidRDefault="0088435F">
            <w:pPr>
              <w:pStyle w:val="Names"/>
            </w:pPr>
            <w:r w:rsidRPr="006B60DB">
              <w:t>Marty</w:t>
            </w:r>
          </w:p>
        </w:tc>
        <w:tc>
          <w:tcPr>
            <w:tcW w:w="1980" w:type="dxa"/>
            <w:tcBorders>
              <w:top w:val="nil"/>
              <w:left w:val="nil"/>
              <w:bottom w:val="nil"/>
              <w:right w:val="nil"/>
            </w:tcBorders>
            <w:shd w:val="clear" w:color="auto" w:fill="auto"/>
            <w:vAlign w:val="bottom"/>
          </w:tcPr>
          <w:p w14:paraId="60A4DDE0" w14:textId="77777777" w:rsidR="0088435F" w:rsidRPr="0088435F" w:rsidRDefault="0088435F">
            <w:pPr>
              <w:pStyle w:val="Names"/>
            </w:pPr>
            <w:r w:rsidRPr="006B60DB">
              <w:t>McAnulty</w:t>
            </w:r>
          </w:p>
        </w:tc>
        <w:tc>
          <w:tcPr>
            <w:tcW w:w="3870" w:type="dxa"/>
            <w:tcBorders>
              <w:top w:val="nil"/>
              <w:left w:val="nil"/>
              <w:bottom w:val="nil"/>
              <w:right w:val="nil"/>
            </w:tcBorders>
            <w:shd w:val="clear" w:color="auto" w:fill="auto"/>
            <w:vAlign w:val="bottom"/>
          </w:tcPr>
          <w:p w14:paraId="2FE0BACF" w14:textId="77777777" w:rsidR="0088435F" w:rsidRPr="0088435F" w:rsidRDefault="0088435F">
            <w:pPr>
              <w:pStyle w:val="Names"/>
            </w:pPr>
            <w:r w:rsidRPr="006B60DB">
              <w:t>LPI Industries, A HEICO Company</w:t>
            </w:r>
          </w:p>
        </w:tc>
        <w:tc>
          <w:tcPr>
            <w:tcW w:w="2160" w:type="dxa"/>
          </w:tcPr>
          <w:p w14:paraId="5B6B6845" w14:textId="77777777" w:rsidR="0088435F" w:rsidRPr="0088435F" w:rsidRDefault="0088435F">
            <w:pPr>
              <w:pStyle w:val="Names"/>
            </w:pPr>
          </w:p>
        </w:tc>
      </w:tr>
      <w:tr w:rsidR="0088435F" w:rsidRPr="0088435F" w14:paraId="52788139" w14:textId="77777777" w:rsidTr="006B60DB">
        <w:tc>
          <w:tcPr>
            <w:tcW w:w="295" w:type="dxa"/>
          </w:tcPr>
          <w:p w14:paraId="11EC4A85" w14:textId="77777777" w:rsidR="0088435F" w:rsidRPr="0088435F" w:rsidRDefault="000E5BBB">
            <w:pPr>
              <w:pStyle w:val="Names"/>
            </w:pPr>
            <w:r>
              <w:t>*</w:t>
            </w:r>
          </w:p>
        </w:tc>
        <w:tc>
          <w:tcPr>
            <w:tcW w:w="1998" w:type="dxa"/>
            <w:tcBorders>
              <w:top w:val="nil"/>
              <w:left w:val="nil"/>
              <w:bottom w:val="nil"/>
              <w:right w:val="nil"/>
            </w:tcBorders>
            <w:shd w:val="clear" w:color="auto" w:fill="auto"/>
            <w:vAlign w:val="bottom"/>
          </w:tcPr>
          <w:p w14:paraId="30F39913" w14:textId="77777777" w:rsidR="0088435F" w:rsidRPr="0088435F" w:rsidRDefault="0088435F">
            <w:pPr>
              <w:pStyle w:val="Names"/>
            </w:pPr>
            <w:r w:rsidRPr="006B60DB">
              <w:t>Steve</w:t>
            </w:r>
          </w:p>
        </w:tc>
        <w:tc>
          <w:tcPr>
            <w:tcW w:w="1980" w:type="dxa"/>
            <w:tcBorders>
              <w:top w:val="nil"/>
              <w:left w:val="nil"/>
              <w:bottom w:val="nil"/>
              <w:right w:val="nil"/>
            </w:tcBorders>
            <w:shd w:val="clear" w:color="auto" w:fill="auto"/>
            <w:vAlign w:val="bottom"/>
          </w:tcPr>
          <w:p w14:paraId="0C442FB1" w14:textId="77777777" w:rsidR="0088435F" w:rsidRPr="0088435F" w:rsidRDefault="0088435F">
            <w:pPr>
              <w:pStyle w:val="Names"/>
            </w:pPr>
            <w:r w:rsidRPr="006B60DB">
              <w:t>Payne</w:t>
            </w:r>
          </w:p>
        </w:tc>
        <w:tc>
          <w:tcPr>
            <w:tcW w:w="3870" w:type="dxa"/>
            <w:tcBorders>
              <w:top w:val="nil"/>
              <w:left w:val="nil"/>
              <w:bottom w:val="nil"/>
              <w:right w:val="nil"/>
            </w:tcBorders>
            <w:shd w:val="clear" w:color="auto" w:fill="auto"/>
            <w:vAlign w:val="bottom"/>
          </w:tcPr>
          <w:p w14:paraId="2EE65F36" w14:textId="77777777" w:rsidR="0088435F" w:rsidRPr="0088435F" w:rsidRDefault="0088435F">
            <w:pPr>
              <w:pStyle w:val="Names"/>
            </w:pPr>
            <w:r w:rsidRPr="006B60DB">
              <w:t>Praxair Surface Technologies</w:t>
            </w:r>
          </w:p>
        </w:tc>
        <w:tc>
          <w:tcPr>
            <w:tcW w:w="2160" w:type="dxa"/>
          </w:tcPr>
          <w:p w14:paraId="56DF6026" w14:textId="77777777" w:rsidR="0088435F" w:rsidRPr="0088435F" w:rsidRDefault="0088435F">
            <w:pPr>
              <w:pStyle w:val="Names"/>
            </w:pPr>
          </w:p>
        </w:tc>
      </w:tr>
      <w:tr w:rsidR="0088435F" w:rsidRPr="0088435F" w14:paraId="7469180B" w14:textId="77777777" w:rsidTr="006B60DB">
        <w:tc>
          <w:tcPr>
            <w:tcW w:w="295" w:type="dxa"/>
          </w:tcPr>
          <w:p w14:paraId="7402455D" w14:textId="77777777" w:rsidR="0088435F" w:rsidRPr="0088435F" w:rsidRDefault="0088435F">
            <w:pPr>
              <w:pStyle w:val="Names"/>
            </w:pPr>
          </w:p>
        </w:tc>
        <w:tc>
          <w:tcPr>
            <w:tcW w:w="1998" w:type="dxa"/>
            <w:tcBorders>
              <w:top w:val="nil"/>
              <w:left w:val="nil"/>
              <w:bottom w:val="nil"/>
              <w:right w:val="nil"/>
            </w:tcBorders>
            <w:shd w:val="clear" w:color="auto" w:fill="auto"/>
            <w:vAlign w:val="bottom"/>
          </w:tcPr>
          <w:p w14:paraId="162C02F0" w14:textId="77777777" w:rsidR="0088435F" w:rsidRPr="0088435F" w:rsidRDefault="0088435F">
            <w:pPr>
              <w:pStyle w:val="Names"/>
            </w:pPr>
            <w:r w:rsidRPr="006B60DB">
              <w:t>Kevin</w:t>
            </w:r>
          </w:p>
        </w:tc>
        <w:tc>
          <w:tcPr>
            <w:tcW w:w="1980" w:type="dxa"/>
            <w:tcBorders>
              <w:top w:val="nil"/>
              <w:left w:val="nil"/>
              <w:bottom w:val="nil"/>
              <w:right w:val="nil"/>
            </w:tcBorders>
            <w:shd w:val="clear" w:color="auto" w:fill="auto"/>
            <w:vAlign w:val="bottom"/>
          </w:tcPr>
          <w:p w14:paraId="3179784C" w14:textId="77777777" w:rsidR="0088435F" w:rsidRPr="0088435F" w:rsidRDefault="0088435F">
            <w:pPr>
              <w:pStyle w:val="Names"/>
            </w:pPr>
            <w:r w:rsidRPr="006B60DB">
              <w:t>Ramlal</w:t>
            </w:r>
          </w:p>
        </w:tc>
        <w:tc>
          <w:tcPr>
            <w:tcW w:w="3870" w:type="dxa"/>
            <w:tcBorders>
              <w:top w:val="nil"/>
              <w:left w:val="nil"/>
              <w:bottom w:val="nil"/>
              <w:right w:val="nil"/>
            </w:tcBorders>
            <w:shd w:val="clear" w:color="auto" w:fill="auto"/>
            <w:vAlign w:val="bottom"/>
          </w:tcPr>
          <w:p w14:paraId="1C08BD8C" w14:textId="77777777" w:rsidR="0088435F" w:rsidRPr="0088435F" w:rsidRDefault="0088435F">
            <w:pPr>
              <w:pStyle w:val="Names"/>
            </w:pPr>
            <w:r w:rsidRPr="006B60DB">
              <w:t>Oerlikon Metco (Canada) Inc.</w:t>
            </w:r>
          </w:p>
        </w:tc>
        <w:tc>
          <w:tcPr>
            <w:tcW w:w="2160" w:type="dxa"/>
          </w:tcPr>
          <w:p w14:paraId="165C77B5" w14:textId="77777777" w:rsidR="0088435F" w:rsidRPr="0088435F" w:rsidRDefault="0088435F">
            <w:pPr>
              <w:pStyle w:val="Names"/>
            </w:pPr>
          </w:p>
        </w:tc>
      </w:tr>
      <w:tr w:rsidR="0088435F" w:rsidRPr="0088435F" w14:paraId="421E41B4" w14:textId="77777777" w:rsidTr="006B60DB">
        <w:tc>
          <w:tcPr>
            <w:tcW w:w="295" w:type="dxa"/>
          </w:tcPr>
          <w:p w14:paraId="7ECC4E29" w14:textId="77777777" w:rsidR="0088435F" w:rsidRPr="0088435F" w:rsidRDefault="000E5BBB">
            <w:pPr>
              <w:pStyle w:val="Names"/>
            </w:pPr>
            <w:r>
              <w:t>*</w:t>
            </w:r>
          </w:p>
        </w:tc>
        <w:tc>
          <w:tcPr>
            <w:tcW w:w="1998" w:type="dxa"/>
            <w:tcBorders>
              <w:top w:val="nil"/>
              <w:left w:val="nil"/>
              <w:bottom w:val="nil"/>
              <w:right w:val="nil"/>
            </w:tcBorders>
            <w:shd w:val="clear" w:color="auto" w:fill="auto"/>
            <w:vAlign w:val="bottom"/>
          </w:tcPr>
          <w:p w14:paraId="7EDF77F2" w14:textId="77777777" w:rsidR="0088435F" w:rsidRPr="0088435F" w:rsidRDefault="0088435F">
            <w:pPr>
              <w:pStyle w:val="Names"/>
            </w:pPr>
            <w:r w:rsidRPr="006B60DB">
              <w:t>Vern</w:t>
            </w:r>
          </w:p>
        </w:tc>
        <w:tc>
          <w:tcPr>
            <w:tcW w:w="1980" w:type="dxa"/>
            <w:tcBorders>
              <w:top w:val="nil"/>
              <w:left w:val="nil"/>
              <w:bottom w:val="nil"/>
              <w:right w:val="nil"/>
            </w:tcBorders>
            <w:shd w:val="clear" w:color="auto" w:fill="auto"/>
            <w:vAlign w:val="bottom"/>
          </w:tcPr>
          <w:p w14:paraId="5E098542" w14:textId="77777777" w:rsidR="0088435F" w:rsidRPr="0088435F" w:rsidRDefault="0088435F">
            <w:pPr>
              <w:pStyle w:val="Names"/>
            </w:pPr>
            <w:r w:rsidRPr="006B60DB">
              <w:t>Talmadge</w:t>
            </w:r>
          </w:p>
        </w:tc>
        <w:tc>
          <w:tcPr>
            <w:tcW w:w="3870" w:type="dxa"/>
            <w:tcBorders>
              <w:top w:val="nil"/>
              <w:left w:val="nil"/>
              <w:bottom w:val="nil"/>
              <w:right w:val="nil"/>
            </w:tcBorders>
            <w:shd w:val="clear" w:color="auto" w:fill="auto"/>
            <w:vAlign w:val="bottom"/>
          </w:tcPr>
          <w:p w14:paraId="2E4A290B" w14:textId="77777777" w:rsidR="0088435F" w:rsidRPr="0088435F" w:rsidRDefault="0088435F">
            <w:pPr>
              <w:pStyle w:val="Names"/>
            </w:pPr>
            <w:r w:rsidRPr="006B60DB">
              <w:t>Arconic Power &amp; Propulsion - Howmet Thermatech Coatings</w:t>
            </w:r>
          </w:p>
        </w:tc>
        <w:tc>
          <w:tcPr>
            <w:tcW w:w="2160" w:type="dxa"/>
          </w:tcPr>
          <w:p w14:paraId="6E154C55" w14:textId="77777777" w:rsidR="0088435F" w:rsidRPr="0088435F" w:rsidRDefault="0088435F">
            <w:pPr>
              <w:pStyle w:val="Names"/>
            </w:pPr>
          </w:p>
        </w:tc>
      </w:tr>
      <w:tr w:rsidR="0088435F" w:rsidRPr="0088435F" w14:paraId="142FDE04" w14:textId="77777777" w:rsidTr="006B60DB">
        <w:tc>
          <w:tcPr>
            <w:tcW w:w="295" w:type="dxa"/>
          </w:tcPr>
          <w:p w14:paraId="1DCB74BA" w14:textId="77777777" w:rsidR="0088435F" w:rsidRPr="0088435F" w:rsidRDefault="000E5BBB">
            <w:pPr>
              <w:pStyle w:val="Names"/>
            </w:pPr>
            <w:r>
              <w:t>*</w:t>
            </w:r>
          </w:p>
        </w:tc>
        <w:tc>
          <w:tcPr>
            <w:tcW w:w="1998" w:type="dxa"/>
            <w:tcBorders>
              <w:top w:val="nil"/>
              <w:left w:val="nil"/>
              <w:bottom w:val="nil"/>
              <w:right w:val="nil"/>
            </w:tcBorders>
            <w:shd w:val="clear" w:color="auto" w:fill="auto"/>
            <w:vAlign w:val="bottom"/>
          </w:tcPr>
          <w:p w14:paraId="2149D159" w14:textId="77777777" w:rsidR="0088435F" w:rsidRPr="0088435F" w:rsidRDefault="0088435F">
            <w:pPr>
              <w:pStyle w:val="Names"/>
            </w:pPr>
            <w:r w:rsidRPr="006B60DB">
              <w:t>David</w:t>
            </w:r>
          </w:p>
        </w:tc>
        <w:tc>
          <w:tcPr>
            <w:tcW w:w="1980" w:type="dxa"/>
            <w:tcBorders>
              <w:top w:val="nil"/>
              <w:left w:val="nil"/>
              <w:bottom w:val="nil"/>
              <w:right w:val="nil"/>
            </w:tcBorders>
            <w:shd w:val="clear" w:color="auto" w:fill="auto"/>
            <w:vAlign w:val="bottom"/>
          </w:tcPr>
          <w:p w14:paraId="27F10BA4" w14:textId="77777777" w:rsidR="0088435F" w:rsidRPr="0088435F" w:rsidRDefault="0088435F">
            <w:pPr>
              <w:pStyle w:val="Names"/>
            </w:pPr>
            <w:r w:rsidRPr="006B60DB">
              <w:t>Thompson</w:t>
            </w:r>
          </w:p>
        </w:tc>
        <w:tc>
          <w:tcPr>
            <w:tcW w:w="3870" w:type="dxa"/>
            <w:tcBorders>
              <w:top w:val="nil"/>
              <w:left w:val="nil"/>
              <w:bottom w:val="nil"/>
              <w:right w:val="nil"/>
            </w:tcBorders>
            <w:shd w:val="clear" w:color="auto" w:fill="auto"/>
            <w:vAlign w:val="bottom"/>
          </w:tcPr>
          <w:p w14:paraId="655850EB" w14:textId="77777777" w:rsidR="0088435F" w:rsidRPr="0088435F" w:rsidRDefault="0088435F">
            <w:pPr>
              <w:pStyle w:val="Names"/>
            </w:pPr>
            <w:r w:rsidRPr="006B60DB">
              <w:t>DCI Aerotech</w:t>
            </w:r>
          </w:p>
        </w:tc>
        <w:tc>
          <w:tcPr>
            <w:tcW w:w="2160" w:type="dxa"/>
          </w:tcPr>
          <w:p w14:paraId="08252602" w14:textId="77777777" w:rsidR="0088435F" w:rsidRPr="0088435F" w:rsidRDefault="0088435F">
            <w:pPr>
              <w:pStyle w:val="Names"/>
            </w:pPr>
          </w:p>
        </w:tc>
      </w:tr>
      <w:tr w:rsidR="0088435F" w:rsidRPr="0088435F" w14:paraId="7F26CBE9" w14:textId="77777777" w:rsidTr="006B60DB">
        <w:tc>
          <w:tcPr>
            <w:tcW w:w="295" w:type="dxa"/>
          </w:tcPr>
          <w:p w14:paraId="0B64F747" w14:textId="77777777" w:rsidR="0088435F" w:rsidRPr="0088435F" w:rsidRDefault="000E5BBB">
            <w:pPr>
              <w:pStyle w:val="Names"/>
            </w:pPr>
            <w:r>
              <w:t>*</w:t>
            </w:r>
          </w:p>
        </w:tc>
        <w:tc>
          <w:tcPr>
            <w:tcW w:w="1998" w:type="dxa"/>
            <w:tcBorders>
              <w:top w:val="nil"/>
              <w:left w:val="nil"/>
              <w:bottom w:val="nil"/>
              <w:right w:val="nil"/>
            </w:tcBorders>
            <w:shd w:val="clear" w:color="auto" w:fill="auto"/>
            <w:vAlign w:val="bottom"/>
          </w:tcPr>
          <w:p w14:paraId="3B6F1EA2" w14:textId="77777777" w:rsidR="0088435F" w:rsidRPr="0088435F" w:rsidRDefault="0088435F">
            <w:pPr>
              <w:pStyle w:val="Names"/>
            </w:pPr>
            <w:r w:rsidRPr="006B60DB">
              <w:t>Jeff</w:t>
            </w:r>
          </w:p>
        </w:tc>
        <w:tc>
          <w:tcPr>
            <w:tcW w:w="1980" w:type="dxa"/>
            <w:tcBorders>
              <w:top w:val="nil"/>
              <w:left w:val="nil"/>
              <w:bottom w:val="nil"/>
              <w:right w:val="nil"/>
            </w:tcBorders>
            <w:shd w:val="clear" w:color="auto" w:fill="auto"/>
            <w:vAlign w:val="bottom"/>
          </w:tcPr>
          <w:p w14:paraId="30F6FD67" w14:textId="77777777" w:rsidR="0088435F" w:rsidRPr="0088435F" w:rsidRDefault="0088435F">
            <w:pPr>
              <w:pStyle w:val="Names"/>
            </w:pPr>
            <w:r w:rsidRPr="006B60DB">
              <w:t>Tomczak</w:t>
            </w:r>
          </w:p>
        </w:tc>
        <w:tc>
          <w:tcPr>
            <w:tcW w:w="3870" w:type="dxa"/>
            <w:tcBorders>
              <w:top w:val="nil"/>
              <w:left w:val="nil"/>
              <w:bottom w:val="nil"/>
              <w:right w:val="nil"/>
            </w:tcBorders>
            <w:shd w:val="clear" w:color="auto" w:fill="auto"/>
            <w:vAlign w:val="bottom"/>
          </w:tcPr>
          <w:p w14:paraId="0E641603" w14:textId="77777777" w:rsidR="0088435F" w:rsidRPr="0088435F" w:rsidRDefault="0088435F">
            <w:pPr>
              <w:pStyle w:val="Names"/>
            </w:pPr>
            <w:r w:rsidRPr="006B60DB">
              <w:t>Techmetals</w:t>
            </w:r>
            <w:r w:rsidR="00187EB5">
              <w:t>, Inc.</w:t>
            </w:r>
          </w:p>
        </w:tc>
        <w:tc>
          <w:tcPr>
            <w:tcW w:w="2160" w:type="dxa"/>
          </w:tcPr>
          <w:p w14:paraId="30AD3068" w14:textId="77777777" w:rsidR="0088435F" w:rsidRPr="0088435F" w:rsidRDefault="0088435F">
            <w:pPr>
              <w:pStyle w:val="Names"/>
            </w:pPr>
          </w:p>
        </w:tc>
      </w:tr>
      <w:tr w:rsidR="0088435F" w:rsidRPr="0088435F" w14:paraId="223A7D86" w14:textId="77777777" w:rsidTr="006B60DB">
        <w:tc>
          <w:tcPr>
            <w:tcW w:w="295" w:type="dxa"/>
          </w:tcPr>
          <w:p w14:paraId="0E69AA73" w14:textId="77777777" w:rsidR="0088435F" w:rsidRPr="0088435F" w:rsidRDefault="0088435F">
            <w:pPr>
              <w:pStyle w:val="Names"/>
            </w:pPr>
          </w:p>
        </w:tc>
        <w:tc>
          <w:tcPr>
            <w:tcW w:w="1998" w:type="dxa"/>
            <w:tcBorders>
              <w:top w:val="nil"/>
              <w:left w:val="nil"/>
              <w:bottom w:val="nil"/>
              <w:right w:val="nil"/>
            </w:tcBorders>
            <w:shd w:val="clear" w:color="auto" w:fill="auto"/>
            <w:vAlign w:val="bottom"/>
          </w:tcPr>
          <w:p w14:paraId="06BCBA8C" w14:textId="77777777" w:rsidR="0088435F" w:rsidRPr="0088435F" w:rsidRDefault="0088435F">
            <w:pPr>
              <w:pStyle w:val="Names"/>
            </w:pPr>
            <w:r w:rsidRPr="006B60DB">
              <w:t>Yoshihiro</w:t>
            </w:r>
          </w:p>
        </w:tc>
        <w:tc>
          <w:tcPr>
            <w:tcW w:w="1980" w:type="dxa"/>
            <w:tcBorders>
              <w:top w:val="nil"/>
              <w:left w:val="nil"/>
              <w:bottom w:val="nil"/>
              <w:right w:val="nil"/>
            </w:tcBorders>
            <w:shd w:val="clear" w:color="auto" w:fill="auto"/>
            <w:vAlign w:val="bottom"/>
          </w:tcPr>
          <w:p w14:paraId="114D4C40" w14:textId="77777777" w:rsidR="0088435F" w:rsidRPr="0088435F" w:rsidRDefault="0088435F">
            <w:pPr>
              <w:pStyle w:val="Names"/>
            </w:pPr>
            <w:r w:rsidRPr="006B60DB">
              <w:t>Tsuda</w:t>
            </w:r>
          </w:p>
        </w:tc>
        <w:tc>
          <w:tcPr>
            <w:tcW w:w="3870" w:type="dxa"/>
            <w:tcBorders>
              <w:top w:val="nil"/>
              <w:left w:val="nil"/>
              <w:bottom w:val="nil"/>
              <w:right w:val="nil"/>
            </w:tcBorders>
            <w:shd w:val="clear" w:color="auto" w:fill="auto"/>
            <w:vAlign w:val="bottom"/>
          </w:tcPr>
          <w:p w14:paraId="5D73005A" w14:textId="77777777" w:rsidR="0088435F" w:rsidRPr="0088435F" w:rsidRDefault="0088435F">
            <w:pPr>
              <w:pStyle w:val="Names"/>
            </w:pPr>
            <w:r w:rsidRPr="006B60DB">
              <w:t>IHI Corporation</w:t>
            </w:r>
          </w:p>
        </w:tc>
        <w:tc>
          <w:tcPr>
            <w:tcW w:w="2160" w:type="dxa"/>
          </w:tcPr>
          <w:p w14:paraId="1FE15304" w14:textId="77777777" w:rsidR="0088435F" w:rsidRPr="0088435F" w:rsidRDefault="0088435F">
            <w:pPr>
              <w:pStyle w:val="Names"/>
            </w:pPr>
          </w:p>
        </w:tc>
      </w:tr>
      <w:tr w:rsidR="0088435F" w:rsidRPr="0088435F" w14:paraId="6EBFCE41" w14:textId="77777777" w:rsidTr="006B60DB">
        <w:tc>
          <w:tcPr>
            <w:tcW w:w="295" w:type="dxa"/>
          </w:tcPr>
          <w:p w14:paraId="38EE3294" w14:textId="77777777" w:rsidR="0088435F" w:rsidRPr="0088435F" w:rsidRDefault="0088435F">
            <w:pPr>
              <w:pStyle w:val="Names"/>
            </w:pPr>
          </w:p>
        </w:tc>
        <w:tc>
          <w:tcPr>
            <w:tcW w:w="1998" w:type="dxa"/>
            <w:tcBorders>
              <w:top w:val="nil"/>
              <w:left w:val="nil"/>
              <w:bottom w:val="nil"/>
              <w:right w:val="nil"/>
            </w:tcBorders>
            <w:shd w:val="clear" w:color="auto" w:fill="auto"/>
            <w:vAlign w:val="bottom"/>
          </w:tcPr>
          <w:p w14:paraId="25173ABF" w14:textId="77777777" w:rsidR="0088435F" w:rsidRPr="0088435F" w:rsidRDefault="0088435F">
            <w:pPr>
              <w:pStyle w:val="Names"/>
            </w:pPr>
            <w:r w:rsidRPr="006B60DB">
              <w:t>Takamitsu</w:t>
            </w:r>
          </w:p>
        </w:tc>
        <w:tc>
          <w:tcPr>
            <w:tcW w:w="1980" w:type="dxa"/>
            <w:tcBorders>
              <w:top w:val="nil"/>
              <w:left w:val="nil"/>
              <w:bottom w:val="nil"/>
              <w:right w:val="nil"/>
            </w:tcBorders>
            <w:shd w:val="clear" w:color="auto" w:fill="auto"/>
            <w:vAlign w:val="bottom"/>
          </w:tcPr>
          <w:p w14:paraId="07358935" w14:textId="77777777" w:rsidR="0088435F" w:rsidRPr="0088435F" w:rsidRDefault="0088435F">
            <w:pPr>
              <w:pStyle w:val="Names"/>
            </w:pPr>
            <w:r w:rsidRPr="006B60DB">
              <w:t>Watanabe</w:t>
            </w:r>
          </w:p>
        </w:tc>
        <w:tc>
          <w:tcPr>
            <w:tcW w:w="3870" w:type="dxa"/>
            <w:tcBorders>
              <w:top w:val="nil"/>
              <w:left w:val="nil"/>
              <w:bottom w:val="nil"/>
              <w:right w:val="nil"/>
            </w:tcBorders>
            <w:shd w:val="clear" w:color="auto" w:fill="auto"/>
            <w:vAlign w:val="bottom"/>
          </w:tcPr>
          <w:p w14:paraId="2BDD653C" w14:textId="77777777" w:rsidR="0088435F" w:rsidRPr="0088435F" w:rsidRDefault="0088435F">
            <w:pPr>
              <w:pStyle w:val="Names"/>
            </w:pPr>
            <w:r w:rsidRPr="006B60DB">
              <w:t>IHI Corporation</w:t>
            </w:r>
          </w:p>
        </w:tc>
        <w:tc>
          <w:tcPr>
            <w:tcW w:w="2160" w:type="dxa"/>
          </w:tcPr>
          <w:p w14:paraId="6781845D" w14:textId="77777777" w:rsidR="0088435F" w:rsidRPr="0088435F" w:rsidRDefault="0088435F">
            <w:pPr>
              <w:pStyle w:val="Names"/>
            </w:pPr>
          </w:p>
        </w:tc>
      </w:tr>
    </w:tbl>
    <w:p w14:paraId="4F589816" w14:textId="77777777" w:rsidR="00FA0B5E" w:rsidRPr="00272E48" w:rsidRDefault="00FA0B5E" w:rsidP="00FC3F1E">
      <w:pPr>
        <w:pStyle w:val="Body"/>
        <w:keepNext/>
        <w:spacing w:before="200"/>
        <w:rPr>
          <w:b/>
          <w:i/>
          <w:u w:val="single"/>
        </w:rPr>
      </w:pPr>
      <w:r w:rsidRPr="00272E48">
        <w:rPr>
          <w:b/>
          <w:i/>
          <w:u w:val="single"/>
        </w:rPr>
        <w:lastRenderedPageBreak/>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CB496C" w:rsidRPr="00FA0B5E" w14:paraId="73A4423D" w14:textId="77777777" w:rsidTr="00E51455">
        <w:tc>
          <w:tcPr>
            <w:tcW w:w="2005" w:type="dxa"/>
          </w:tcPr>
          <w:p w14:paraId="14CF633B" w14:textId="77777777" w:rsidR="00CB496C" w:rsidRDefault="00CB496C" w:rsidP="003A4D04">
            <w:pPr>
              <w:pStyle w:val="Names"/>
            </w:pPr>
            <w:r>
              <w:t>Connie</w:t>
            </w:r>
          </w:p>
        </w:tc>
        <w:tc>
          <w:tcPr>
            <w:tcW w:w="1980" w:type="dxa"/>
          </w:tcPr>
          <w:p w14:paraId="731E7CBD" w14:textId="77777777" w:rsidR="00CB496C" w:rsidRDefault="00CB496C" w:rsidP="003A4D04">
            <w:pPr>
              <w:pStyle w:val="Names"/>
            </w:pPr>
            <w:r>
              <w:t>Hess</w:t>
            </w:r>
          </w:p>
        </w:tc>
      </w:tr>
      <w:tr w:rsidR="00CB496C" w:rsidRPr="00FA0B5E" w14:paraId="11105A4D" w14:textId="77777777" w:rsidTr="00E51455">
        <w:tc>
          <w:tcPr>
            <w:tcW w:w="2005" w:type="dxa"/>
          </w:tcPr>
          <w:p w14:paraId="7F8E076E" w14:textId="77777777" w:rsidR="00CB496C" w:rsidRDefault="005C2228" w:rsidP="003A4D04">
            <w:pPr>
              <w:pStyle w:val="Names"/>
            </w:pPr>
            <w:r>
              <w:t>Joe</w:t>
            </w:r>
          </w:p>
        </w:tc>
        <w:tc>
          <w:tcPr>
            <w:tcW w:w="1980" w:type="dxa"/>
          </w:tcPr>
          <w:p w14:paraId="06C00F1C" w14:textId="77777777" w:rsidR="00CB496C" w:rsidRDefault="005C2228" w:rsidP="003A4D04">
            <w:pPr>
              <w:pStyle w:val="Names"/>
            </w:pPr>
            <w:r>
              <w:t>Pinto</w:t>
            </w:r>
          </w:p>
        </w:tc>
      </w:tr>
      <w:tr w:rsidR="00A4482A" w:rsidRPr="00FA0B5E" w14:paraId="12218B4E" w14:textId="77777777" w:rsidTr="00E51455">
        <w:tc>
          <w:tcPr>
            <w:tcW w:w="2005" w:type="dxa"/>
          </w:tcPr>
          <w:p w14:paraId="3B64E722" w14:textId="77777777" w:rsidR="00A4482A" w:rsidRPr="00FA0B5E" w:rsidRDefault="00A4482A" w:rsidP="003A4D04">
            <w:pPr>
              <w:pStyle w:val="Names"/>
            </w:pPr>
            <w:r>
              <w:t>Justin</w:t>
            </w:r>
          </w:p>
        </w:tc>
        <w:tc>
          <w:tcPr>
            <w:tcW w:w="1980" w:type="dxa"/>
          </w:tcPr>
          <w:p w14:paraId="2903CECE" w14:textId="77777777" w:rsidR="00A4482A" w:rsidRPr="00FA0B5E" w:rsidRDefault="00A4482A" w:rsidP="003A4D04">
            <w:pPr>
              <w:pStyle w:val="Names"/>
            </w:pPr>
            <w:r>
              <w:t>Rausch</w:t>
            </w:r>
          </w:p>
        </w:tc>
      </w:tr>
    </w:tbl>
    <w:p w14:paraId="2BE9FA57" w14:textId="77777777" w:rsidR="003B5FCD" w:rsidRDefault="003B5FCD" w:rsidP="003B5FCD">
      <w:pPr>
        <w:pStyle w:val="Body"/>
      </w:pPr>
    </w:p>
    <w:p w14:paraId="4A35AEA0" w14:textId="77777777" w:rsidR="000A4DCB" w:rsidRDefault="000A4DCB" w:rsidP="000A4DCB">
      <w:pPr>
        <w:pStyle w:val="Heading2"/>
        <w:tabs>
          <w:tab w:val="clear" w:pos="720"/>
          <w:tab w:val="num" w:pos="1080"/>
        </w:tabs>
      </w:pPr>
      <w:r>
        <w:t>Safety Information – OPEN/CLOSED</w:t>
      </w:r>
    </w:p>
    <w:p w14:paraId="087913DC" w14:textId="77777777" w:rsidR="000A4DCB" w:rsidRPr="00DF7447" w:rsidRDefault="000A4DCB" w:rsidP="000A4DCB">
      <w:pPr>
        <w:pStyle w:val="Body"/>
        <w:rPr>
          <w:rFonts w:cs="Arial"/>
        </w:rPr>
      </w:pPr>
      <w:r>
        <w:t>Safety information for the meeting, including the crisis and evacuation plans for the hotel, was reviewed.</w:t>
      </w:r>
    </w:p>
    <w:p w14:paraId="27FB8955" w14:textId="77777777" w:rsidR="000A4DCB" w:rsidRDefault="000A4DCB" w:rsidP="000A4DCB">
      <w:pPr>
        <w:pStyle w:val="Heading2"/>
        <w:tabs>
          <w:tab w:val="clear" w:pos="720"/>
          <w:tab w:val="num" w:pos="1080"/>
        </w:tabs>
      </w:pPr>
      <w:r>
        <w:t>Review Code of Ethics and Meeting Conduct – OPEN/CLOSED</w:t>
      </w:r>
    </w:p>
    <w:p w14:paraId="77D0545F" w14:textId="77777777" w:rsidR="000A4DCB" w:rsidRPr="00DF7447" w:rsidRDefault="000A4DCB" w:rsidP="000A4DCB">
      <w:pPr>
        <w:pStyle w:val="Body"/>
        <w:rPr>
          <w:rFonts w:cs="Arial"/>
        </w:rPr>
      </w:pPr>
      <w:r>
        <w:t xml:space="preserve">Justin Rausch presented a tutorial </w:t>
      </w:r>
      <w:r w:rsidRPr="00DF7447">
        <w:t>explain</w:t>
      </w:r>
      <w:r>
        <w:t>ing</w:t>
      </w:r>
      <w:r w:rsidRPr="00DF7447">
        <w:t xml:space="preserve"> the functions of Nadcap and the C</w:t>
      </w:r>
      <w:r>
        <w:t>TTG</w:t>
      </w:r>
      <w:r w:rsidRPr="00DF7447">
        <w:t xml:space="preserve">, </w:t>
      </w:r>
      <w:r>
        <w:t>and reviewed the Nadcap Code of Ethics.</w:t>
      </w:r>
    </w:p>
    <w:p w14:paraId="0E41C031" w14:textId="77777777" w:rsidR="000A4DCB" w:rsidRDefault="000A4DCB" w:rsidP="000A4DCB">
      <w:pPr>
        <w:pStyle w:val="Heading2"/>
        <w:tabs>
          <w:tab w:val="clear" w:pos="720"/>
          <w:tab w:val="num" w:pos="1080"/>
        </w:tabs>
      </w:pPr>
      <w:r>
        <w:t>Present the Antitrust Video – OPEN/CLOSED</w:t>
      </w:r>
    </w:p>
    <w:p w14:paraId="0B76DF10" w14:textId="77777777" w:rsidR="000A4DCB" w:rsidRPr="005D73D7" w:rsidRDefault="000A4DCB" w:rsidP="000A4DCB">
      <w:pPr>
        <w:pStyle w:val="Body"/>
        <w:rPr>
          <w:rFonts w:cs="Arial"/>
        </w:rPr>
      </w:pPr>
      <w:r>
        <w:t xml:space="preserve">Justin Rausch showed a video on Antitrust, narrated by Joe Pinto, </w:t>
      </w:r>
      <w:r w:rsidRPr="00DF7447">
        <w:t>to participants.</w:t>
      </w:r>
      <w:r>
        <w:t xml:space="preserve"> </w:t>
      </w:r>
    </w:p>
    <w:p w14:paraId="6A581252" w14:textId="77777777" w:rsidR="000A4DCB" w:rsidRDefault="000A4DCB" w:rsidP="000A4DCB">
      <w:pPr>
        <w:pStyle w:val="Heading2"/>
        <w:tabs>
          <w:tab w:val="clear" w:pos="720"/>
          <w:tab w:val="num" w:pos="1080"/>
        </w:tabs>
      </w:pPr>
      <w:r>
        <w:t>Review Agenda – OPEN/CLOSED</w:t>
      </w:r>
    </w:p>
    <w:p w14:paraId="4FC3C5C1" w14:textId="77777777" w:rsidR="000A4DCB" w:rsidRPr="00DF7447" w:rsidRDefault="000A4DCB" w:rsidP="000A4DCB">
      <w:pPr>
        <w:pStyle w:val="Body"/>
        <w:rPr>
          <w:rFonts w:cs="Arial"/>
        </w:rPr>
      </w:pPr>
      <w:r w:rsidRPr="00DF7447">
        <w:t>The agenda for the meeting was reviewed.</w:t>
      </w:r>
      <w:r>
        <w:t xml:space="preserve"> </w:t>
      </w:r>
      <w:r w:rsidRPr="00080D73">
        <w:t>No changes</w:t>
      </w:r>
      <w:r>
        <w:t xml:space="preserve"> were proposed or made.</w:t>
      </w:r>
    </w:p>
    <w:p w14:paraId="24866185" w14:textId="77777777" w:rsidR="000A4DCB" w:rsidRDefault="000A4DCB" w:rsidP="000A4DCB">
      <w:pPr>
        <w:pStyle w:val="Heading2"/>
        <w:tabs>
          <w:tab w:val="clear" w:pos="720"/>
          <w:tab w:val="num" w:pos="1080"/>
        </w:tabs>
      </w:pPr>
      <w:r>
        <w:t>Expectations – OPEN/CLOSED</w:t>
      </w:r>
    </w:p>
    <w:p w14:paraId="5257EE14" w14:textId="77777777" w:rsidR="000A4DCB" w:rsidRDefault="000A4DCB" w:rsidP="00C3342C">
      <w:pPr>
        <w:pStyle w:val="Body"/>
      </w:pPr>
      <w:r w:rsidRPr="00DF7447">
        <w:t>Attendees were given the opportunity to identify expectations to be addressed during the week</w:t>
      </w:r>
      <w:r>
        <w:t xml:space="preserve"> of meetings. A list was started in the closed meeting and reviewed again in the open meeting. </w:t>
      </w:r>
      <w:r w:rsidRPr="0066757A">
        <w:t>Expectatio</w:t>
      </w:r>
      <w:r>
        <w:t xml:space="preserve">ns beyond agenda items: </w:t>
      </w:r>
      <w:r w:rsidR="009F3992">
        <w:t>clarification of the self-audit requirements</w:t>
      </w:r>
      <w:r>
        <w:t xml:space="preserve"> </w:t>
      </w:r>
      <w:r w:rsidR="009F3992">
        <w:t xml:space="preserve">for the number of job audits to be performed, disposition of AC7109/2 Appendix A, feedback on a potential </w:t>
      </w:r>
      <w:r w:rsidR="001E5019">
        <w:t>Memorandum of Understanding (</w:t>
      </w:r>
      <w:r w:rsidR="009F3992">
        <w:t>MOU</w:t>
      </w:r>
      <w:r w:rsidR="001E5019">
        <w:t xml:space="preserve">) </w:t>
      </w:r>
      <w:r w:rsidR="009F3992">
        <w:t xml:space="preserve">with the Heat Treatment Task Group for AC7109/7, discussion on the AMS 2750 requirements in AC7108/1, determination on Rolls-Royce’s proposal to include </w:t>
      </w:r>
      <w:r w:rsidR="007B73A3">
        <w:t>Process Failure Modes and Effects Analysis (</w:t>
      </w:r>
      <w:r w:rsidR="009F3992">
        <w:t>PFMEA</w:t>
      </w:r>
      <w:r w:rsidR="007B73A3">
        <w:t>)</w:t>
      </w:r>
      <w:r w:rsidR="009F3992">
        <w:t xml:space="preserve"> into AC7109.</w:t>
      </w:r>
    </w:p>
    <w:p w14:paraId="1255490A" w14:textId="77777777" w:rsidR="000A4DCB" w:rsidRDefault="000A4DCB" w:rsidP="000A4DCB">
      <w:pPr>
        <w:pStyle w:val="Heading2"/>
        <w:tabs>
          <w:tab w:val="clear" w:pos="720"/>
          <w:tab w:val="num" w:pos="1080"/>
        </w:tabs>
      </w:pPr>
      <w:r>
        <w:t>Acceptance of Meeting Minutes – OPEN</w:t>
      </w:r>
    </w:p>
    <w:p w14:paraId="6CDFBAF4" w14:textId="77777777" w:rsidR="00FA0B5E" w:rsidRDefault="000A4DCB" w:rsidP="000A4DCB">
      <w:pPr>
        <w:pStyle w:val="Body"/>
      </w:pPr>
      <w:r>
        <w:t xml:space="preserve">Motion made by </w:t>
      </w:r>
      <w:r w:rsidR="004D72BA">
        <w:t>Dan Loveless and seconded by Steve Payne</w:t>
      </w:r>
      <w:r>
        <w:t xml:space="preserve"> to approve the </w:t>
      </w:r>
      <w:r>
        <w:rPr>
          <w:rFonts w:cs="Arial"/>
        </w:rPr>
        <w:t xml:space="preserve">minutes for the </w:t>
      </w:r>
      <w:r w:rsidR="004D72BA">
        <w:rPr>
          <w:rFonts w:cs="Arial"/>
        </w:rPr>
        <w:t>October 2016</w:t>
      </w:r>
      <w:r>
        <w:rPr>
          <w:rFonts w:cs="Arial"/>
        </w:rPr>
        <w:t xml:space="preserve"> meeting</w:t>
      </w:r>
      <w:r>
        <w:t xml:space="preserve"> held in </w:t>
      </w:r>
      <w:r w:rsidR="004D72BA">
        <w:t>Pittsburgh</w:t>
      </w:r>
      <w:r>
        <w:t xml:space="preserve">, </w:t>
      </w:r>
      <w:r w:rsidR="004D72BA">
        <w:t>Pennsylvania, United States</w:t>
      </w:r>
      <w:r>
        <w:t xml:space="preserve"> without change. </w:t>
      </w:r>
      <w:r w:rsidRPr="00080D73">
        <w:t>Motion passed</w:t>
      </w:r>
      <w:r>
        <w:t>.</w:t>
      </w:r>
    </w:p>
    <w:p w14:paraId="5E1416EE" w14:textId="77777777" w:rsidR="00C3342C" w:rsidRDefault="00C3342C" w:rsidP="00C3342C">
      <w:pPr>
        <w:pStyle w:val="Heading1"/>
      </w:pPr>
      <w:r>
        <w:t>REVIEW DELEGATION STATUS – CLOSED</w:t>
      </w:r>
    </w:p>
    <w:p w14:paraId="43C07EB4" w14:textId="77777777" w:rsidR="00C3342C" w:rsidRPr="00A85671" w:rsidRDefault="00C3342C" w:rsidP="00C3342C">
      <w:pPr>
        <w:pStyle w:val="Body"/>
      </w:pPr>
      <w:r>
        <w:t xml:space="preserve">Data was reviewed for CTTG Subscriber concurrence with audit report reviewer decisions. The delegated audit report reviewers (Jim Lewis, Bob Lizewski, and Justin Rausch) </w:t>
      </w:r>
      <w:r w:rsidRPr="00E800D8">
        <w:t>met</w:t>
      </w:r>
      <w:r>
        <w:t xml:space="preserve"> the criteria of </w:t>
      </w:r>
      <w:r w:rsidRPr="00A85671">
        <w:t xml:space="preserve">over 10% audits reviewed and greater than 90% concurrence. </w:t>
      </w:r>
      <w:r w:rsidR="00045D54">
        <w:t xml:space="preserve">All reviewers also met the criteria of at least </w:t>
      </w:r>
      <w:r w:rsidR="00EE7E69">
        <w:t>ten</w:t>
      </w:r>
      <w:r w:rsidR="00045D54">
        <w:t xml:space="preserve"> audits being reviewed for the year. </w:t>
      </w:r>
      <w:r w:rsidRPr="00A85671">
        <w:t>Their delegation is maintained.</w:t>
      </w:r>
    </w:p>
    <w:p w14:paraId="4AC99BDA" w14:textId="77777777" w:rsidR="00C3342C" w:rsidRPr="00491963" w:rsidRDefault="00C3342C" w:rsidP="00C3342C">
      <w:pPr>
        <w:pStyle w:val="Heading1"/>
      </w:pPr>
      <w:r w:rsidRPr="00491963">
        <w:t>tASK gROUP RESOLUTION – CLOSED</w:t>
      </w:r>
    </w:p>
    <w:p w14:paraId="336CD995" w14:textId="77777777" w:rsidR="00C3342C" w:rsidRPr="005C2228" w:rsidRDefault="005C2228" w:rsidP="00C3342C">
      <w:pPr>
        <w:pStyle w:val="Body"/>
      </w:pPr>
      <w:r w:rsidRPr="005C2228">
        <w:t>Auditee’s Customer List</w:t>
      </w:r>
      <w:r w:rsidR="00C3342C" w:rsidRPr="005C2228">
        <w:t xml:space="preserve"> – </w:t>
      </w:r>
      <w:r w:rsidRPr="005C2228">
        <w:t>The CTTG discussed the Auditee’s Customer list that is viewable on the Audit Details page of an auditee in eAuditNet</w:t>
      </w:r>
      <w:r w:rsidR="00491963" w:rsidRPr="005C2228">
        <w:t>.</w:t>
      </w:r>
      <w:r w:rsidRPr="005C2228">
        <w:t xml:space="preserve"> Concerns were express that these lists were not accurate. These lists are controlled by the </w:t>
      </w:r>
      <w:r w:rsidR="001E5019">
        <w:t>a</w:t>
      </w:r>
      <w:r w:rsidR="001E5019" w:rsidRPr="005C2228">
        <w:t>uditees</w:t>
      </w:r>
      <w:r w:rsidRPr="005C2228">
        <w:t xml:space="preserve">, and the </w:t>
      </w:r>
      <w:r w:rsidR="001E5019">
        <w:t>a</w:t>
      </w:r>
      <w:r w:rsidR="001E5019" w:rsidRPr="005C2228">
        <w:t xml:space="preserve">uditees </w:t>
      </w:r>
      <w:r w:rsidRPr="005C2228">
        <w:t>are respons</w:t>
      </w:r>
      <w:r w:rsidR="001E5019">
        <w:t>ible</w:t>
      </w:r>
      <w:r w:rsidRPr="005C2228">
        <w:t xml:space="preserve"> for keeping them up-to-date. Subscribers must work with </w:t>
      </w:r>
      <w:r w:rsidR="001E5019">
        <w:t>a</w:t>
      </w:r>
      <w:r w:rsidR="001E5019" w:rsidRPr="005C2228">
        <w:t xml:space="preserve">uditees </w:t>
      </w:r>
      <w:r w:rsidRPr="005C2228">
        <w:t>to ensure these lists are maintained.</w:t>
      </w:r>
    </w:p>
    <w:p w14:paraId="71E3E55E" w14:textId="77777777" w:rsidR="005C2228" w:rsidRPr="00045D54" w:rsidRDefault="005C2228" w:rsidP="005C2228">
      <w:pPr>
        <w:pStyle w:val="ActionItem"/>
        <w:rPr>
          <w:highlight w:val="yellow"/>
        </w:rPr>
      </w:pPr>
      <w:r w:rsidRPr="00BE0960">
        <w:t xml:space="preserve">Action Item: Justin Rausch </w:t>
      </w:r>
      <w:r>
        <w:t>to</w:t>
      </w:r>
      <w:r w:rsidRPr="00BE0960">
        <w:t xml:space="preserve"> </w:t>
      </w:r>
      <w:r>
        <w:t>propose an eAuditNet enhancement to include an additional search option in the Subscriber QML that would allow Subscribers to identify Suppliers on their Supplier lists that do not identify that Subscriber as a customer</w:t>
      </w:r>
      <w:r w:rsidRPr="00BE0960">
        <w:t>.</w:t>
      </w:r>
      <w:r w:rsidRPr="00713609">
        <w:t xml:space="preserve"> </w:t>
      </w:r>
      <w:r w:rsidRPr="003F687E">
        <w:t xml:space="preserve">(Due Date: </w:t>
      </w:r>
      <w:r>
        <w:t>31</w:t>
      </w:r>
      <w:r w:rsidRPr="003F687E">
        <w:t>-</w:t>
      </w:r>
      <w:r>
        <w:t>Mar-2017</w:t>
      </w:r>
      <w:r w:rsidRPr="003F687E">
        <w:t>)</w:t>
      </w:r>
    </w:p>
    <w:p w14:paraId="4EE348D9" w14:textId="77777777" w:rsidR="001662EA" w:rsidRPr="00861E0D" w:rsidRDefault="001662EA" w:rsidP="001662EA">
      <w:pPr>
        <w:pStyle w:val="Heading1"/>
      </w:pPr>
      <w:r w:rsidRPr="00861E0D">
        <w:t>AUDITOR CONSISTENCY – CLOSED</w:t>
      </w:r>
    </w:p>
    <w:p w14:paraId="006E96DC" w14:textId="77777777" w:rsidR="001662EA" w:rsidRPr="00861E0D" w:rsidRDefault="001662EA" w:rsidP="001662EA">
      <w:pPr>
        <w:pStyle w:val="Heading2"/>
      </w:pPr>
      <w:r w:rsidRPr="00861E0D">
        <w:t>Review Observation Plan</w:t>
      </w:r>
    </w:p>
    <w:p w14:paraId="2D9E2A39" w14:textId="77777777" w:rsidR="007612B1" w:rsidRPr="00861E0D" w:rsidRDefault="001662EA" w:rsidP="00045D54">
      <w:pPr>
        <w:pStyle w:val="Body"/>
      </w:pPr>
      <w:r w:rsidRPr="00861E0D">
        <w:t>The 201</w:t>
      </w:r>
      <w:r w:rsidR="00045D54">
        <w:t>6 and 2017</w:t>
      </w:r>
      <w:r w:rsidRPr="00861E0D">
        <w:t xml:space="preserve"> audit observation plan</w:t>
      </w:r>
      <w:r w:rsidR="00045D54">
        <w:t>s were</w:t>
      </w:r>
      <w:r w:rsidRPr="00861E0D">
        <w:t xml:space="preserve"> reviewed. </w:t>
      </w:r>
      <w:r w:rsidR="00EE7E69">
        <w:t>One of one</w:t>
      </w:r>
      <w:r w:rsidR="00045D54">
        <w:t xml:space="preserve"> candidate</w:t>
      </w:r>
      <w:r w:rsidR="00EE7E69">
        <w:t>s</w:t>
      </w:r>
      <w:r w:rsidR="00045D54">
        <w:t xml:space="preserve"> requiring observation for the 2016 plan was observed. Additionally, three other observations were performed in 201</w:t>
      </w:r>
      <w:r w:rsidR="00EE7E69">
        <w:t>6</w:t>
      </w:r>
      <w:r w:rsidR="00045D54">
        <w:t>. One of seven</w:t>
      </w:r>
      <w:r w:rsidRPr="00861E0D">
        <w:t xml:space="preserve"> candidates for observation for 201</w:t>
      </w:r>
      <w:r w:rsidR="00045D54">
        <w:t>7</w:t>
      </w:r>
      <w:r w:rsidRPr="00861E0D">
        <w:t xml:space="preserve"> have been observed to date. </w:t>
      </w:r>
    </w:p>
    <w:p w14:paraId="27C69E4F" w14:textId="77777777" w:rsidR="001662EA" w:rsidRPr="00861E0D" w:rsidRDefault="00045D54" w:rsidP="001662EA">
      <w:pPr>
        <w:pStyle w:val="Body"/>
      </w:pPr>
      <w:r>
        <w:t>One</w:t>
      </w:r>
      <w:r w:rsidR="001662EA" w:rsidRPr="00861E0D">
        <w:t xml:space="preserve"> observation report submitted after the </w:t>
      </w:r>
      <w:r>
        <w:t>October</w:t>
      </w:r>
      <w:r w:rsidR="001662EA" w:rsidRPr="00861E0D">
        <w:t xml:space="preserve"> 2016 meeting </w:t>
      </w:r>
      <w:r>
        <w:t>was</w:t>
      </w:r>
      <w:r w:rsidR="001662EA" w:rsidRPr="00861E0D">
        <w:t xml:space="preserve"> reviewed. Feedback was positive and no rating of ‘Does Not Meet’ was given. </w:t>
      </w:r>
    </w:p>
    <w:p w14:paraId="09B3F443" w14:textId="77777777" w:rsidR="001662EA" w:rsidRPr="00861E0D" w:rsidRDefault="001662EA" w:rsidP="001662EA">
      <w:pPr>
        <w:pStyle w:val="Heading2"/>
      </w:pPr>
      <w:r w:rsidRPr="00861E0D">
        <w:t>Review Auditor Consistency Data</w:t>
      </w:r>
    </w:p>
    <w:p w14:paraId="57AE68F8" w14:textId="5215A573" w:rsidR="001662EA" w:rsidRPr="00861E0D" w:rsidRDefault="001662EA" w:rsidP="001662EA">
      <w:pPr>
        <w:pStyle w:val="Body"/>
      </w:pPr>
      <w:r w:rsidRPr="00861E0D">
        <w:t>Auditor consistency data was reviewed. The review included: individual Auditor evaluations and Supplier feedback for all audits conducted between 1-</w:t>
      </w:r>
      <w:r w:rsidR="00045D54">
        <w:t>Sep</w:t>
      </w:r>
      <w:r w:rsidR="00A83CF8" w:rsidRPr="00861E0D">
        <w:t>-2016</w:t>
      </w:r>
      <w:r w:rsidRPr="00861E0D">
        <w:t xml:space="preserve"> and 3</w:t>
      </w:r>
      <w:r w:rsidR="007612B1" w:rsidRPr="00861E0D">
        <w:t>1</w:t>
      </w:r>
      <w:r w:rsidRPr="00861E0D">
        <w:t>-</w:t>
      </w:r>
      <w:r w:rsidR="00045D54">
        <w:t>Dec</w:t>
      </w:r>
      <w:r w:rsidR="00A83CF8" w:rsidRPr="00861E0D">
        <w:t>-2016</w:t>
      </w:r>
      <w:r w:rsidRPr="00861E0D">
        <w:t xml:space="preserve">; </w:t>
      </w:r>
      <w:r w:rsidRPr="00861E0D">
        <w:rPr>
          <w:color w:val="000000"/>
        </w:rPr>
        <w:t xml:space="preserve">peer comparison of average number of NCRs written per audit day; </w:t>
      </w:r>
      <w:r w:rsidR="00DA01BE" w:rsidRPr="00861E0D">
        <w:rPr>
          <w:color w:val="000000"/>
        </w:rPr>
        <w:t>comparison of the number of NCRs written by an auditor</w:t>
      </w:r>
      <w:r w:rsidR="007612B1" w:rsidRPr="00861E0D">
        <w:rPr>
          <w:color w:val="000000"/>
        </w:rPr>
        <w:t xml:space="preserve"> </w:t>
      </w:r>
      <w:r w:rsidR="00DA01BE" w:rsidRPr="00861E0D">
        <w:rPr>
          <w:color w:val="000000"/>
        </w:rPr>
        <w:t xml:space="preserve">versus the number of NCRs by </w:t>
      </w:r>
      <w:r w:rsidR="00045D54">
        <w:rPr>
          <w:color w:val="000000"/>
        </w:rPr>
        <w:t xml:space="preserve">both </w:t>
      </w:r>
      <w:r w:rsidR="00DA01BE" w:rsidRPr="00861E0D">
        <w:rPr>
          <w:color w:val="000000"/>
        </w:rPr>
        <w:t xml:space="preserve">the </w:t>
      </w:r>
      <w:r w:rsidR="00045D54">
        <w:rPr>
          <w:color w:val="000000"/>
        </w:rPr>
        <w:t xml:space="preserve">previous and </w:t>
      </w:r>
      <w:r w:rsidR="00DA01BE" w:rsidRPr="00861E0D">
        <w:rPr>
          <w:color w:val="000000"/>
        </w:rPr>
        <w:t>following auditor</w:t>
      </w:r>
      <w:r w:rsidR="00045D54">
        <w:rPr>
          <w:color w:val="000000"/>
        </w:rPr>
        <w:t>s</w:t>
      </w:r>
      <w:r w:rsidR="00DA01BE" w:rsidRPr="00861E0D">
        <w:rPr>
          <w:color w:val="000000"/>
        </w:rPr>
        <w:t xml:space="preserve">; </w:t>
      </w:r>
      <w:r w:rsidRPr="00861E0D">
        <w:rPr>
          <w:color w:val="000000"/>
        </w:rPr>
        <w:t>and influence of failure criteria on written NCRs per audit</w:t>
      </w:r>
      <w:r w:rsidR="00524576">
        <w:rPr>
          <w:color w:val="000000"/>
        </w:rPr>
        <w:t>.</w:t>
      </w:r>
      <w:r w:rsidRPr="00861E0D">
        <w:rPr>
          <w:color w:val="000000"/>
        </w:rPr>
        <w:t xml:space="preserve"> </w:t>
      </w:r>
      <w:r w:rsidRPr="00861E0D">
        <w:t xml:space="preserve">Supplier feedback comments were </w:t>
      </w:r>
      <w:r w:rsidR="00045D54">
        <w:t>good</w:t>
      </w:r>
      <w:r w:rsidRPr="00861E0D">
        <w:t xml:space="preserve">. </w:t>
      </w:r>
      <w:r w:rsidR="007612B1" w:rsidRPr="00861E0D">
        <w:t xml:space="preserve">Most of these comments pertained </w:t>
      </w:r>
      <w:r w:rsidR="0086207C">
        <w:t xml:space="preserve">to </w:t>
      </w:r>
      <w:r w:rsidR="007612B1" w:rsidRPr="00861E0D">
        <w:t>NCRs that were not identified on the previous audit</w:t>
      </w:r>
      <w:r w:rsidRPr="00861E0D">
        <w:t xml:space="preserve">. </w:t>
      </w:r>
    </w:p>
    <w:p w14:paraId="58FDE43F" w14:textId="77777777" w:rsidR="001662EA" w:rsidRDefault="001662EA" w:rsidP="001662EA">
      <w:pPr>
        <w:pStyle w:val="Body"/>
      </w:pPr>
      <w:r w:rsidRPr="00861E0D">
        <w:t xml:space="preserve">As a result of reviewing </w:t>
      </w:r>
      <w:r w:rsidR="002E3F08">
        <w:t xml:space="preserve">the </w:t>
      </w:r>
      <w:r w:rsidRPr="00861E0D">
        <w:t xml:space="preserve">auditor consistency data, </w:t>
      </w:r>
      <w:r w:rsidR="007612B1" w:rsidRPr="00861E0D">
        <w:t xml:space="preserve">the CTTG has </w:t>
      </w:r>
      <w:r w:rsidR="00DA01BE" w:rsidRPr="00861E0D">
        <w:t xml:space="preserve">requested to </w:t>
      </w:r>
      <w:r w:rsidR="002E3F08">
        <w:t>do a more thorough evaluation of one auditor who appears to be an outlier in terms of NCR writing compared to his peers.</w:t>
      </w:r>
    </w:p>
    <w:p w14:paraId="1F2A277F" w14:textId="77777777" w:rsidR="002E3F08" w:rsidRPr="00861E0D" w:rsidRDefault="002E3F08" w:rsidP="002E3F08">
      <w:pPr>
        <w:pStyle w:val="ActionItem"/>
      </w:pPr>
      <w:r w:rsidRPr="00BE0960">
        <w:t xml:space="preserve">Action Item: Justin Rausch </w:t>
      </w:r>
      <w:r>
        <w:t>to develop a more thorough comparison of an auditor with potential consistency concerns</w:t>
      </w:r>
      <w:r w:rsidRPr="00BE0960">
        <w:t>.</w:t>
      </w:r>
      <w:r w:rsidRPr="00713609">
        <w:t xml:space="preserve"> </w:t>
      </w:r>
      <w:r w:rsidRPr="003F687E">
        <w:t xml:space="preserve">(Due Date: </w:t>
      </w:r>
      <w:r>
        <w:t>30</w:t>
      </w:r>
      <w:r w:rsidRPr="003F687E">
        <w:t>-</w:t>
      </w:r>
      <w:r>
        <w:t>Apr-2017</w:t>
      </w:r>
      <w:r w:rsidRPr="003F687E">
        <w:t>)</w:t>
      </w:r>
    </w:p>
    <w:p w14:paraId="2F39E81D" w14:textId="77777777" w:rsidR="001662EA" w:rsidRPr="00861E0D" w:rsidRDefault="001662EA" w:rsidP="001662EA">
      <w:pPr>
        <w:pStyle w:val="Heading2"/>
      </w:pPr>
      <w:r w:rsidRPr="00861E0D">
        <w:t>Review Dashboard Metrics</w:t>
      </w:r>
    </w:p>
    <w:p w14:paraId="5B8A641E" w14:textId="77777777" w:rsidR="001662EA" w:rsidRPr="00861E0D" w:rsidRDefault="001662EA" w:rsidP="001662EA">
      <w:pPr>
        <w:pStyle w:val="Body"/>
      </w:pPr>
      <w:r w:rsidRPr="00861E0D">
        <w:t xml:space="preserve">The Coatings dashboard metrics through </w:t>
      </w:r>
      <w:r w:rsidR="00A83CF8" w:rsidRPr="00861E0D">
        <w:t>3</w:t>
      </w:r>
      <w:r w:rsidR="00045D54">
        <w:t>1</w:t>
      </w:r>
      <w:r w:rsidRPr="00861E0D">
        <w:t>-</w:t>
      </w:r>
      <w:r w:rsidR="00045D54">
        <w:t>Jan-2017</w:t>
      </w:r>
      <w:r w:rsidRPr="00861E0D">
        <w:t xml:space="preserve"> were presented by Justin Rausch and reviewed by the Task Group.</w:t>
      </w:r>
    </w:p>
    <w:p w14:paraId="672FCCF4" w14:textId="77777777" w:rsidR="001662EA" w:rsidRPr="00861E0D" w:rsidRDefault="001662EA" w:rsidP="001662EA">
      <w:pPr>
        <w:pStyle w:val="Body"/>
      </w:pPr>
      <w:r w:rsidRPr="00861E0D">
        <w:t xml:space="preserve">Frequency of Auditor Consistency Data Review, Goal Annually: Green – On the </w:t>
      </w:r>
      <w:r w:rsidR="00045D54">
        <w:t>February 2017</w:t>
      </w:r>
      <w:r w:rsidRPr="00861E0D">
        <w:t xml:space="preserve"> meeting agenda (Reviewed every meeting).</w:t>
      </w:r>
    </w:p>
    <w:p w14:paraId="2FD6A8B9" w14:textId="77777777" w:rsidR="001662EA" w:rsidRPr="00861E0D" w:rsidRDefault="00A83CF8" w:rsidP="001662EA">
      <w:pPr>
        <w:pStyle w:val="Body"/>
      </w:pPr>
      <w:r w:rsidRPr="00861E0D">
        <w:t>Subscriber Observations Required</w:t>
      </w:r>
      <w:r w:rsidR="001662EA" w:rsidRPr="00861E0D">
        <w:t xml:space="preserve">, Goal </w:t>
      </w:r>
      <w:r w:rsidRPr="00861E0D">
        <w:t>Identified</w:t>
      </w:r>
      <w:r w:rsidR="001662EA" w:rsidRPr="00861E0D">
        <w:t xml:space="preserve">: Green – </w:t>
      </w:r>
      <w:r w:rsidRPr="00861E0D">
        <w:t>Identified</w:t>
      </w:r>
      <w:r w:rsidR="001662EA" w:rsidRPr="00861E0D">
        <w:t xml:space="preserve"> </w:t>
      </w:r>
      <w:r w:rsidRPr="00861E0D">
        <w:t xml:space="preserve">Based on the CTTG Candidates for Observation Plan, </w:t>
      </w:r>
      <w:r w:rsidR="00045D54">
        <w:t>seven</w:t>
      </w:r>
      <w:r w:rsidRPr="00861E0D">
        <w:t xml:space="preserve"> observation</w:t>
      </w:r>
      <w:r w:rsidR="00045D54">
        <w:t>s</w:t>
      </w:r>
      <w:r w:rsidRPr="00861E0D">
        <w:t xml:space="preserve"> </w:t>
      </w:r>
      <w:r w:rsidR="00045D54">
        <w:t>are</w:t>
      </w:r>
      <w:r w:rsidRPr="00861E0D">
        <w:t xml:space="preserve"> required for 201</w:t>
      </w:r>
      <w:r w:rsidR="00045D54">
        <w:t>7</w:t>
      </w:r>
      <w:r w:rsidRPr="00861E0D">
        <w:t>.</w:t>
      </w:r>
    </w:p>
    <w:p w14:paraId="59139341" w14:textId="77777777" w:rsidR="00810102" w:rsidRPr="00861E0D" w:rsidRDefault="00810102" w:rsidP="00A83CF8">
      <w:pPr>
        <w:pStyle w:val="Body"/>
      </w:pPr>
      <w:r w:rsidRPr="00861E0D">
        <w:t xml:space="preserve">Subscriber Observations Completed, Goal </w:t>
      </w:r>
      <w:r w:rsidR="007A7295">
        <w:t>10</w:t>
      </w:r>
      <w:r w:rsidRPr="00861E0D">
        <w:t>% Completed: Green – 1</w:t>
      </w:r>
      <w:r w:rsidR="007A7295">
        <w:t>4</w:t>
      </w:r>
      <w:r w:rsidRPr="00861E0D">
        <w:t>% Completed</w:t>
      </w:r>
      <w:r w:rsidR="000E6AC7" w:rsidRPr="00861E0D">
        <w:t>.</w:t>
      </w:r>
      <w:r w:rsidRPr="00861E0D">
        <w:t xml:space="preserve"> </w:t>
      </w:r>
      <w:r w:rsidR="007A7295">
        <w:t>One of seven</w:t>
      </w:r>
      <w:r w:rsidRPr="00861E0D">
        <w:t xml:space="preserve"> observation</w:t>
      </w:r>
      <w:r w:rsidR="007A7295">
        <w:t>s required for 2017 have</w:t>
      </w:r>
      <w:r w:rsidRPr="00861E0D">
        <w:t xml:space="preserve"> been completed.</w:t>
      </w:r>
    </w:p>
    <w:p w14:paraId="5F04FA7B" w14:textId="77777777" w:rsidR="001662EA" w:rsidRPr="00861E0D" w:rsidRDefault="001662EA" w:rsidP="00A83CF8">
      <w:pPr>
        <w:pStyle w:val="Body"/>
      </w:pPr>
      <w:r w:rsidRPr="00861E0D">
        <w:t xml:space="preserve">Supplier Feedback Question 15, Goal </w:t>
      </w:r>
      <w:r w:rsidR="00810102" w:rsidRPr="00861E0D">
        <w:t>95</w:t>
      </w:r>
      <w:r w:rsidRPr="00861E0D">
        <w:t xml:space="preserve">%: </w:t>
      </w:r>
      <w:r w:rsidR="00DA01BE" w:rsidRPr="00861E0D">
        <w:t>Yellow</w:t>
      </w:r>
      <w:r w:rsidRPr="00861E0D">
        <w:t xml:space="preserve"> – 9</w:t>
      </w:r>
      <w:r w:rsidR="007A7295">
        <w:t>4</w:t>
      </w:r>
      <w:r w:rsidRPr="00861E0D">
        <w:t xml:space="preserve">% </w:t>
      </w:r>
      <w:r w:rsidR="000E6AC7" w:rsidRPr="00861E0D">
        <w:t>of Auditees</w:t>
      </w:r>
      <w:r w:rsidRPr="00861E0D">
        <w:t xml:space="preserve"> answered “Yes” that the auditor was consistent compared to previous auditors for </w:t>
      </w:r>
      <w:r w:rsidR="00DA01BE" w:rsidRPr="00861E0D">
        <w:t>1</w:t>
      </w:r>
      <w:r w:rsidR="007A7295">
        <w:t>23</w:t>
      </w:r>
      <w:r w:rsidRPr="00861E0D">
        <w:t xml:space="preserve"> of </w:t>
      </w:r>
      <w:r w:rsidR="00810102" w:rsidRPr="00861E0D">
        <w:t>1</w:t>
      </w:r>
      <w:r w:rsidR="007A7295">
        <w:t>32</w:t>
      </w:r>
      <w:r w:rsidRPr="00861E0D">
        <w:t xml:space="preserve"> audits</w:t>
      </w:r>
      <w:r w:rsidR="00810102" w:rsidRPr="00861E0D">
        <w:t xml:space="preserve"> conducted from </w:t>
      </w:r>
      <w:r w:rsidR="007A7295" w:rsidRPr="007A7295">
        <w:t>01-Jan-2016 to 31-Dec-2016</w:t>
      </w:r>
      <w:r w:rsidRPr="00861E0D">
        <w:t>.</w:t>
      </w:r>
    </w:p>
    <w:p w14:paraId="5D0A20AA" w14:textId="77777777" w:rsidR="00810102" w:rsidRDefault="005E6A86" w:rsidP="00810102">
      <w:pPr>
        <w:pStyle w:val="Heading1"/>
      </w:pPr>
      <w:r w:rsidRPr="00861E0D">
        <w:t>Voting Member Updates &amp; Compliance</w:t>
      </w:r>
      <w:r w:rsidRPr="005E6A86">
        <w:t xml:space="preserve"> with Voting Requirements</w:t>
      </w:r>
      <w:r w:rsidR="00810102">
        <w:t xml:space="preserve"> – open</w:t>
      </w:r>
    </w:p>
    <w:p w14:paraId="68940DBF" w14:textId="77777777" w:rsidR="00810102" w:rsidRDefault="00810102" w:rsidP="00810102">
      <w:pPr>
        <w:pStyle w:val="Heading2"/>
      </w:pPr>
      <w:r>
        <w:t>Current Voting Member Participation [Meetings and Ballots]</w:t>
      </w:r>
    </w:p>
    <w:p w14:paraId="12E0391F" w14:textId="77777777" w:rsidR="00810102" w:rsidRDefault="005E6A86" w:rsidP="00810102">
      <w:pPr>
        <w:pStyle w:val="Body"/>
      </w:pPr>
      <w:r w:rsidRPr="005E6A86">
        <w:t xml:space="preserve">The compliance to voting requirements per PD 1100 were reviewed. </w:t>
      </w:r>
      <w:r w:rsidR="007A7295" w:rsidRPr="007A7295">
        <w:t>All Voting Members met the membership requirements</w:t>
      </w:r>
      <w:r w:rsidR="00CC1EBE">
        <w:t>.</w:t>
      </w:r>
    </w:p>
    <w:p w14:paraId="3EFC20D8" w14:textId="77777777" w:rsidR="00810102" w:rsidRPr="00810102" w:rsidRDefault="00810102" w:rsidP="00810102">
      <w:pPr>
        <w:pStyle w:val="Heading2"/>
      </w:pPr>
      <w:r>
        <w:t>New Voting Members</w:t>
      </w:r>
    </w:p>
    <w:p w14:paraId="6984DC5A" w14:textId="77777777" w:rsidR="00BE709F" w:rsidRDefault="00BE709F" w:rsidP="00810102">
      <w:pPr>
        <w:ind w:left="720"/>
      </w:pPr>
      <w:r w:rsidRPr="009610A4">
        <w:t xml:space="preserve">The following requests for </w:t>
      </w:r>
      <w:r w:rsidR="009F7595">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14:paraId="29065964" w14:textId="77777777" w:rsidR="00021222" w:rsidRDefault="00021222" w:rsidP="004F1E64">
      <w:pPr>
        <w:pStyle w:val="ListParagraph"/>
        <w:numPr>
          <w:ilvl w:val="0"/>
          <w:numId w:val="3"/>
        </w:numPr>
      </w:pPr>
      <w:r>
        <w:t>Subscriber Voting Member: UVM</w:t>
      </w:r>
    </w:p>
    <w:p w14:paraId="73A00BFF" w14:textId="77777777" w:rsidR="00021222" w:rsidRDefault="00021222" w:rsidP="004F1E64">
      <w:pPr>
        <w:pStyle w:val="ListParagraph"/>
        <w:numPr>
          <w:ilvl w:val="0"/>
          <w:numId w:val="3"/>
        </w:numPr>
      </w:pPr>
      <w:r>
        <w:t>Supplier Voting Member: SVM</w:t>
      </w:r>
    </w:p>
    <w:p w14:paraId="5DF91817" w14:textId="77777777" w:rsidR="00021222" w:rsidRDefault="00021222" w:rsidP="004F1E64">
      <w:pPr>
        <w:pStyle w:val="ListParagraph"/>
        <w:numPr>
          <w:ilvl w:val="0"/>
          <w:numId w:val="3"/>
        </w:numPr>
      </w:pPr>
      <w:r>
        <w:t>Alternate: ALT</w:t>
      </w:r>
    </w:p>
    <w:p w14:paraId="381E1E45" w14:textId="77777777" w:rsidR="006227ED" w:rsidRDefault="006227ED" w:rsidP="004F1E64">
      <w:pPr>
        <w:pStyle w:val="ListParagraph"/>
        <w:numPr>
          <w:ilvl w:val="0"/>
          <w:numId w:val="3"/>
        </w:numPr>
      </w:pPr>
      <w:r>
        <w:t>Task Group Chairperson: CHR</w:t>
      </w:r>
    </w:p>
    <w:p w14:paraId="767C16D4" w14:textId="77777777" w:rsidR="006227ED" w:rsidRDefault="006227ED" w:rsidP="004F1E64">
      <w:pPr>
        <w:pStyle w:val="ListParagraph"/>
        <w:numPr>
          <w:ilvl w:val="0"/>
          <w:numId w:val="3"/>
        </w:numPr>
      </w:pPr>
      <w:r>
        <w:t>Vice Chairperson: VCH</w:t>
      </w:r>
    </w:p>
    <w:p w14:paraId="1184B416" w14:textId="77777777" w:rsidR="006227ED" w:rsidRPr="009610A4" w:rsidRDefault="006227ED" w:rsidP="004F1E64">
      <w:pPr>
        <w:pStyle w:val="ListParagraph"/>
        <w:numPr>
          <w:ilvl w:val="0"/>
          <w:numId w:val="3"/>
        </w:numPr>
      </w:pPr>
      <w:r>
        <w:t>Secretary: SEC</w:t>
      </w: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188"/>
        <w:gridCol w:w="1685"/>
        <w:gridCol w:w="2083"/>
        <w:gridCol w:w="1172"/>
        <w:gridCol w:w="1283"/>
      </w:tblGrid>
      <w:tr w:rsidR="00BE709F" w:rsidRPr="009610A4" w14:paraId="2F7B247B" w14:textId="77777777" w:rsidTr="003A4D04">
        <w:trPr>
          <w:trHeight w:val="719"/>
        </w:trPr>
        <w:tc>
          <w:tcPr>
            <w:tcW w:w="1004" w:type="dxa"/>
            <w:shd w:val="clear" w:color="auto" w:fill="auto"/>
          </w:tcPr>
          <w:p w14:paraId="2AFD6737" w14:textId="77777777" w:rsidR="00BE709F" w:rsidRDefault="00BE709F" w:rsidP="003A4D04">
            <w:pPr>
              <w:jc w:val="center"/>
              <w:rPr>
                <w:rFonts w:cs="Arial"/>
                <w:b/>
                <w:bCs/>
                <w:iCs/>
              </w:rPr>
            </w:pPr>
            <w:r w:rsidRPr="009610A4">
              <w:rPr>
                <w:rFonts w:cs="Arial"/>
                <w:b/>
                <w:bCs/>
                <w:iCs/>
              </w:rPr>
              <w:t>First Name</w:t>
            </w:r>
          </w:p>
          <w:p w14:paraId="566D7DCC" w14:textId="77777777" w:rsidR="00BE709F" w:rsidRPr="009610A4" w:rsidRDefault="00BE709F" w:rsidP="003A4D04">
            <w:pPr>
              <w:jc w:val="center"/>
              <w:rPr>
                <w:rFonts w:cs="Arial"/>
                <w:b/>
                <w:bCs/>
                <w:iCs/>
              </w:rPr>
            </w:pPr>
          </w:p>
        </w:tc>
        <w:tc>
          <w:tcPr>
            <w:tcW w:w="1188" w:type="dxa"/>
            <w:shd w:val="clear" w:color="auto" w:fill="auto"/>
          </w:tcPr>
          <w:p w14:paraId="417FECA0" w14:textId="77777777" w:rsidR="00BE709F" w:rsidRPr="009610A4" w:rsidRDefault="00BE709F" w:rsidP="003A4D04">
            <w:pPr>
              <w:jc w:val="center"/>
              <w:rPr>
                <w:rFonts w:cs="Arial"/>
                <w:b/>
                <w:bCs/>
                <w:iCs/>
              </w:rPr>
            </w:pPr>
            <w:r w:rsidRPr="009610A4">
              <w:rPr>
                <w:rFonts w:cs="Arial"/>
                <w:b/>
                <w:bCs/>
                <w:iCs/>
              </w:rPr>
              <w:t>Surname</w:t>
            </w:r>
          </w:p>
        </w:tc>
        <w:tc>
          <w:tcPr>
            <w:tcW w:w="1685" w:type="dxa"/>
            <w:shd w:val="clear" w:color="auto" w:fill="auto"/>
          </w:tcPr>
          <w:p w14:paraId="63A59715" w14:textId="77777777" w:rsidR="00BE709F" w:rsidRPr="009610A4" w:rsidRDefault="00BE709F" w:rsidP="003A4D04">
            <w:pPr>
              <w:jc w:val="center"/>
              <w:rPr>
                <w:rFonts w:cs="Arial"/>
                <w:b/>
                <w:bCs/>
                <w:iCs/>
              </w:rPr>
            </w:pPr>
            <w:r w:rsidRPr="009610A4">
              <w:rPr>
                <w:rFonts w:cs="Arial"/>
                <w:b/>
                <w:bCs/>
                <w:iCs/>
              </w:rPr>
              <w:t>Company</w:t>
            </w:r>
          </w:p>
        </w:tc>
        <w:tc>
          <w:tcPr>
            <w:tcW w:w="2083" w:type="dxa"/>
            <w:shd w:val="clear" w:color="auto" w:fill="auto"/>
          </w:tcPr>
          <w:p w14:paraId="62A1DC1D" w14:textId="77777777" w:rsidR="00BE709F" w:rsidRDefault="00021222" w:rsidP="003A4D04">
            <w:pPr>
              <w:jc w:val="center"/>
              <w:rPr>
                <w:rFonts w:cs="Arial"/>
                <w:b/>
                <w:bCs/>
                <w:iCs/>
              </w:rPr>
            </w:pPr>
            <w:r>
              <w:rPr>
                <w:rFonts w:cs="Arial"/>
                <w:b/>
                <w:bCs/>
                <w:iCs/>
              </w:rPr>
              <w:t>Position:</w:t>
            </w:r>
          </w:p>
          <w:p w14:paraId="76863C6B" w14:textId="77777777" w:rsidR="009F7595" w:rsidRPr="009610A4" w:rsidRDefault="009F7595" w:rsidP="003A4D04">
            <w:pPr>
              <w:jc w:val="center"/>
              <w:rPr>
                <w:rFonts w:cs="Arial"/>
                <w:b/>
                <w:bCs/>
                <w:iCs/>
              </w:rPr>
            </w:pPr>
            <w:r>
              <w:rPr>
                <w:rFonts w:cs="Arial"/>
                <w:b/>
                <w:bCs/>
                <w:iCs/>
              </w:rPr>
              <w:t>(new / updated role)</w:t>
            </w:r>
          </w:p>
        </w:tc>
        <w:tc>
          <w:tcPr>
            <w:tcW w:w="2455" w:type="dxa"/>
            <w:gridSpan w:val="2"/>
            <w:shd w:val="clear" w:color="auto" w:fill="auto"/>
          </w:tcPr>
          <w:p w14:paraId="16C8C6B1" w14:textId="77777777" w:rsidR="00BE709F" w:rsidRPr="009610A4" w:rsidRDefault="00BE709F" w:rsidP="003A4D04">
            <w:pPr>
              <w:jc w:val="center"/>
              <w:rPr>
                <w:rFonts w:cs="Arial"/>
                <w:b/>
                <w:bCs/>
                <w:iCs/>
              </w:rPr>
            </w:pPr>
            <w:r w:rsidRPr="009610A4">
              <w:rPr>
                <w:rFonts w:cs="Arial"/>
                <w:b/>
                <w:bCs/>
                <w:iCs/>
              </w:rPr>
              <w:t>Meetings Attended</w:t>
            </w:r>
            <w:r w:rsidRPr="009610A4">
              <w:rPr>
                <w:rFonts w:cs="Arial"/>
                <w:b/>
                <w:bCs/>
                <w:iCs/>
              </w:rPr>
              <w:br/>
              <w:t>(Month/Year)</w:t>
            </w:r>
          </w:p>
        </w:tc>
      </w:tr>
      <w:tr w:rsidR="00810102" w:rsidRPr="009610A4" w14:paraId="1C1F211E" w14:textId="77777777" w:rsidTr="003A4D04">
        <w:tc>
          <w:tcPr>
            <w:tcW w:w="1004" w:type="dxa"/>
            <w:shd w:val="clear" w:color="auto" w:fill="auto"/>
          </w:tcPr>
          <w:p w14:paraId="223354A8" w14:textId="77777777" w:rsidR="00810102" w:rsidRDefault="001E5019" w:rsidP="00810102">
            <w:pPr>
              <w:jc w:val="both"/>
              <w:rPr>
                <w:rFonts w:cs="Arial"/>
                <w:bCs/>
                <w:iCs/>
              </w:rPr>
            </w:pPr>
            <w:r>
              <w:rPr>
                <w:rFonts w:cs="Arial"/>
                <w:bCs/>
                <w:iCs/>
              </w:rPr>
              <w:t>Dave</w:t>
            </w:r>
          </w:p>
        </w:tc>
        <w:tc>
          <w:tcPr>
            <w:tcW w:w="1188" w:type="dxa"/>
            <w:shd w:val="clear" w:color="auto" w:fill="auto"/>
          </w:tcPr>
          <w:p w14:paraId="26437FEF" w14:textId="77777777" w:rsidR="00810102" w:rsidRDefault="001E5019" w:rsidP="00810102">
            <w:pPr>
              <w:rPr>
                <w:rFonts w:cs="Arial"/>
                <w:bCs/>
                <w:iCs/>
              </w:rPr>
            </w:pPr>
            <w:r>
              <w:rPr>
                <w:rFonts w:cs="Arial"/>
                <w:bCs/>
                <w:iCs/>
              </w:rPr>
              <w:t>Thompson</w:t>
            </w:r>
          </w:p>
        </w:tc>
        <w:tc>
          <w:tcPr>
            <w:tcW w:w="1685" w:type="dxa"/>
            <w:shd w:val="clear" w:color="auto" w:fill="auto"/>
          </w:tcPr>
          <w:p w14:paraId="068FB192" w14:textId="77777777" w:rsidR="00810102" w:rsidRDefault="001E5019" w:rsidP="00810102">
            <w:pPr>
              <w:rPr>
                <w:rFonts w:cs="Arial"/>
                <w:bCs/>
                <w:iCs/>
              </w:rPr>
            </w:pPr>
            <w:r>
              <w:rPr>
                <w:rFonts w:cs="Arial"/>
                <w:bCs/>
                <w:iCs/>
              </w:rPr>
              <w:t>DCI Aerospace</w:t>
            </w:r>
          </w:p>
        </w:tc>
        <w:tc>
          <w:tcPr>
            <w:tcW w:w="2083" w:type="dxa"/>
            <w:shd w:val="clear" w:color="auto" w:fill="auto"/>
          </w:tcPr>
          <w:p w14:paraId="519BD4ED" w14:textId="77777777" w:rsidR="00810102" w:rsidRDefault="001E5019" w:rsidP="00810102">
            <w:pPr>
              <w:rPr>
                <w:rFonts w:cs="Arial"/>
                <w:bCs/>
                <w:iCs/>
              </w:rPr>
            </w:pPr>
            <w:r>
              <w:rPr>
                <w:rFonts w:cs="Arial"/>
                <w:bCs/>
                <w:iCs/>
              </w:rPr>
              <w:t>SVM (New)</w:t>
            </w:r>
          </w:p>
        </w:tc>
        <w:tc>
          <w:tcPr>
            <w:tcW w:w="1172" w:type="dxa"/>
            <w:shd w:val="clear" w:color="auto" w:fill="auto"/>
          </w:tcPr>
          <w:p w14:paraId="62446C5A" w14:textId="77777777" w:rsidR="00810102" w:rsidRDefault="001E5019" w:rsidP="00810102">
            <w:pPr>
              <w:rPr>
                <w:rFonts w:cs="Arial"/>
                <w:bCs/>
                <w:iCs/>
              </w:rPr>
            </w:pPr>
            <w:r>
              <w:rPr>
                <w:rFonts w:cs="Arial"/>
                <w:bCs/>
                <w:iCs/>
              </w:rPr>
              <w:t>Oct-2016</w:t>
            </w:r>
          </w:p>
        </w:tc>
        <w:tc>
          <w:tcPr>
            <w:tcW w:w="1283" w:type="dxa"/>
            <w:shd w:val="clear" w:color="auto" w:fill="auto"/>
          </w:tcPr>
          <w:p w14:paraId="75FD93E1" w14:textId="77777777" w:rsidR="00810102" w:rsidRPr="00C9352E" w:rsidRDefault="001E5019" w:rsidP="00810102">
            <w:pPr>
              <w:rPr>
                <w:rFonts w:cs="Arial"/>
                <w:bCs/>
                <w:iCs/>
              </w:rPr>
            </w:pPr>
            <w:r>
              <w:rPr>
                <w:rFonts w:cs="Arial"/>
                <w:bCs/>
                <w:iCs/>
              </w:rPr>
              <w:t>Feb-2017</w:t>
            </w:r>
          </w:p>
        </w:tc>
      </w:tr>
      <w:tr w:rsidR="001E5019" w:rsidRPr="009610A4" w14:paraId="62925BAE" w14:textId="77777777" w:rsidTr="003A4D04">
        <w:tc>
          <w:tcPr>
            <w:tcW w:w="1004" w:type="dxa"/>
            <w:shd w:val="clear" w:color="auto" w:fill="auto"/>
          </w:tcPr>
          <w:p w14:paraId="71463178" w14:textId="77777777" w:rsidR="001E5019" w:rsidRDefault="001E5019" w:rsidP="00810102">
            <w:pPr>
              <w:jc w:val="both"/>
              <w:rPr>
                <w:rFonts w:cs="Arial"/>
                <w:bCs/>
                <w:iCs/>
              </w:rPr>
            </w:pPr>
            <w:r>
              <w:rPr>
                <w:rFonts w:cs="Arial"/>
                <w:bCs/>
                <w:iCs/>
              </w:rPr>
              <w:t>Jessica</w:t>
            </w:r>
          </w:p>
        </w:tc>
        <w:tc>
          <w:tcPr>
            <w:tcW w:w="1188" w:type="dxa"/>
            <w:shd w:val="clear" w:color="auto" w:fill="auto"/>
          </w:tcPr>
          <w:p w14:paraId="2CE4C3ED" w14:textId="77777777" w:rsidR="001E5019" w:rsidRDefault="001E5019" w:rsidP="00810102">
            <w:pPr>
              <w:rPr>
                <w:rFonts w:cs="Arial"/>
                <w:bCs/>
                <w:iCs/>
              </w:rPr>
            </w:pPr>
            <w:r>
              <w:rPr>
                <w:rFonts w:cs="Arial"/>
                <w:bCs/>
                <w:iCs/>
              </w:rPr>
              <w:t>Shepard</w:t>
            </w:r>
          </w:p>
        </w:tc>
        <w:tc>
          <w:tcPr>
            <w:tcW w:w="1685" w:type="dxa"/>
            <w:shd w:val="clear" w:color="auto" w:fill="auto"/>
          </w:tcPr>
          <w:p w14:paraId="5F3D3456" w14:textId="77777777" w:rsidR="001E5019" w:rsidRDefault="001E5019" w:rsidP="00810102">
            <w:pPr>
              <w:rPr>
                <w:rFonts w:cs="Arial"/>
                <w:bCs/>
                <w:iCs/>
              </w:rPr>
            </w:pPr>
            <w:r>
              <w:rPr>
                <w:rFonts w:cs="Arial"/>
                <w:bCs/>
                <w:iCs/>
              </w:rPr>
              <w:t>GE Aviation</w:t>
            </w:r>
          </w:p>
        </w:tc>
        <w:tc>
          <w:tcPr>
            <w:tcW w:w="2083" w:type="dxa"/>
            <w:shd w:val="clear" w:color="auto" w:fill="auto"/>
          </w:tcPr>
          <w:p w14:paraId="4A0DADE5" w14:textId="77777777" w:rsidR="001E5019" w:rsidRDefault="001E5019" w:rsidP="00810102">
            <w:pPr>
              <w:rPr>
                <w:rFonts w:cs="Arial"/>
                <w:bCs/>
                <w:iCs/>
              </w:rPr>
            </w:pPr>
            <w:r>
              <w:rPr>
                <w:rFonts w:cs="Arial"/>
                <w:bCs/>
                <w:iCs/>
              </w:rPr>
              <w:t>ALT UVM (New)</w:t>
            </w:r>
          </w:p>
        </w:tc>
        <w:tc>
          <w:tcPr>
            <w:tcW w:w="1172" w:type="dxa"/>
            <w:shd w:val="clear" w:color="auto" w:fill="auto"/>
          </w:tcPr>
          <w:p w14:paraId="09D4FE31" w14:textId="77777777" w:rsidR="001E5019" w:rsidRDefault="001E5019" w:rsidP="00810102">
            <w:pPr>
              <w:rPr>
                <w:rFonts w:cs="Arial"/>
                <w:bCs/>
                <w:iCs/>
              </w:rPr>
            </w:pPr>
            <w:r>
              <w:rPr>
                <w:rFonts w:cs="Arial"/>
                <w:bCs/>
                <w:iCs/>
              </w:rPr>
              <w:t>Oct-2016</w:t>
            </w:r>
          </w:p>
        </w:tc>
        <w:tc>
          <w:tcPr>
            <w:tcW w:w="1283" w:type="dxa"/>
            <w:shd w:val="clear" w:color="auto" w:fill="auto"/>
          </w:tcPr>
          <w:p w14:paraId="4B2842AA" w14:textId="77777777" w:rsidR="001E5019" w:rsidRDefault="001E5019" w:rsidP="00810102">
            <w:pPr>
              <w:rPr>
                <w:rFonts w:cs="Arial"/>
                <w:bCs/>
                <w:iCs/>
              </w:rPr>
            </w:pPr>
            <w:r>
              <w:rPr>
                <w:rFonts w:cs="Arial"/>
                <w:bCs/>
                <w:iCs/>
              </w:rPr>
              <w:t>Feb-2017</w:t>
            </w:r>
          </w:p>
        </w:tc>
      </w:tr>
    </w:tbl>
    <w:p w14:paraId="23D41FF1" w14:textId="77777777" w:rsidR="00BE709F" w:rsidRDefault="00BE709F" w:rsidP="00BE709F">
      <w:pPr>
        <w:spacing w:after="0"/>
        <w:ind w:left="720"/>
      </w:pPr>
    </w:p>
    <w:p w14:paraId="1BDA3273" w14:textId="77777777" w:rsidR="00033416" w:rsidRDefault="00033416" w:rsidP="00033416">
      <w:pPr>
        <w:pStyle w:val="Heading2"/>
      </w:pPr>
      <w:r>
        <w:t>Succession Plan</w:t>
      </w:r>
    </w:p>
    <w:p w14:paraId="1CCE2DB6" w14:textId="77777777" w:rsidR="00033416" w:rsidRDefault="00033416" w:rsidP="00033416">
      <w:pPr>
        <w:pStyle w:val="Body"/>
      </w:pPr>
      <w:r>
        <w:t xml:space="preserve">The current CTTG succession plan was reviewed with Udo Schuelke as the Chairperson, Joel Mohnacky as the Vice-Chairperson, and </w:t>
      </w:r>
      <w:r w:rsidRPr="00B010BB">
        <w:t>Björn Kjellman</w:t>
      </w:r>
      <w:r>
        <w:t xml:space="preserve"> as the Alternate Vice-Chairperson.</w:t>
      </w:r>
      <w:r w:rsidR="00AD2E45">
        <w:t xml:space="preserve"> Dale Harmon is Secretary</w:t>
      </w:r>
      <w:r w:rsidR="00EE025B">
        <w:t>.</w:t>
      </w:r>
    </w:p>
    <w:p w14:paraId="2CBC60FB" w14:textId="77777777" w:rsidR="0036647B" w:rsidRDefault="0036647B" w:rsidP="00033416">
      <w:pPr>
        <w:pStyle w:val="Heading1"/>
      </w:pPr>
      <w:r>
        <w:t>Review of PRocedure Changes</w:t>
      </w:r>
      <w:r w:rsidR="004D72BA">
        <w:t xml:space="preserve"> – OPEN</w:t>
      </w:r>
    </w:p>
    <w:p w14:paraId="51E14A0F" w14:textId="77777777" w:rsidR="0036647B" w:rsidRDefault="0036647B" w:rsidP="0036647B">
      <w:pPr>
        <w:pStyle w:val="Heading2"/>
      </w:pPr>
      <w:r>
        <w:t>Review any changes to General Operating Procedures since the last meeting</w:t>
      </w:r>
      <w:r w:rsidR="001E5019">
        <w:t>.</w:t>
      </w:r>
    </w:p>
    <w:p w14:paraId="4AE30939" w14:textId="77777777" w:rsidR="0036647B" w:rsidRDefault="0036647B" w:rsidP="0036647B">
      <w:pPr>
        <w:pStyle w:val="Body"/>
      </w:pPr>
      <w:r>
        <w:t>Justin Rausch presented the changes made to Nadcap Operating Procedures since the October 2016 meeting.</w:t>
      </w:r>
    </w:p>
    <w:p w14:paraId="02E5BF81" w14:textId="77777777" w:rsidR="0036647B" w:rsidRDefault="0036647B" w:rsidP="0036647B">
      <w:pPr>
        <w:pStyle w:val="Heading2"/>
      </w:pPr>
      <w:r>
        <w:t>Review of any changes to CT specific OP 1114 and OP 1116 Appendices since the last meeting.</w:t>
      </w:r>
    </w:p>
    <w:p w14:paraId="42F06BA4" w14:textId="77777777" w:rsidR="0036647B" w:rsidRDefault="0036647B" w:rsidP="0036647B">
      <w:pPr>
        <w:pStyle w:val="Body"/>
      </w:pPr>
      <w:r>
        <w:t>No changes were made to OP 1114 App CT or OP 1116 App CT since the October 2016 meeting.</w:t>
      </w:r>
    </w:p>
    <w:p w14:paraId="1C5E39C4" w14:textId="77777777" w:rsidR="0036647B" w:rsidRPr="0036647B" w:rsidRDefault="0036647B" w:rsidP="0036647B">
      <w:pPr>
        <w:pStyle w:val="Body"/>
      </w:pPr>
      <w:r>
        <w:t>A ballot comment for OP 1114 App CT was resolved.</w:t>
      </w:r>
    </w:p>
    <w:p w14:paraId="65DACDBF" w14:textId="77777777" w:rsidR="00033416" w:rsidRDefault="00033416" w:rsidP="00033416">
      <w:pPr>
        <w:pStyle w:val="Heading1"/>
      </w:pPr>
      <w:r>
        <w:t>Metrics – open</w:t>
      </w:r>
    </w:p>
    <w:p w14:paraId="16140569" w14:textId="77777777" w:rsidR="00033416" w:rsidRDefault="00F56500" w:rsidP="00033416">
      <w:pPr>
        <w:pStyle w:val="Heading2"/>
      </w:pPr>
      <w:r>
        <w:t>Nadcap Management Council (</w:t>
      </w:r>
      <w:r w:rsidR="00033416">
        <w:t>NMC</w:t>
      </w:r>
      <w:r>
        <w:t>)</w:t>
      </w:r>
    </w:p>
    <w:p w14:paraId="19204BA3" w14:textId="77777777" w:rsidR="00033416" w:rsidRDefault="00033416" w:rsidP="00033416">
      <w:pPr>
        <w:pStyle w:val="Body"/>
      </w:pPr>
      <w:r>
        <w:t xml:space="preserve">The </w:t>
      </w:r>
      <w:r w:rsidRPr="00E34496">
        <w:t>NMC met</w:t>
      </w:r>
      <w:r w:rsidR="007A7295">
        <w:t>rics through 31-Jan-2017</w:t>
      </w:r>
      <w:r>
        <w:t xml:space="preserve"> were presented by Justin Rausch</w:t>
      </w:r>
      <w:r w:rsidRPr="00E34496">
        <w:t xml:space="preserve"> and reviewed by the </w:t>
      </w:r>
      <w:r>
        <w:t>Task Group</w:t>
      </w:r>
      <w:r w:rsidRPr="00E34496">
        <w:t xml:space="preserve">. </w:t>
      </w:r>
    </w:p>
    <w:p w14:paraId="0702726D" w14:textId="77777777" w:rsidR="00033416" w:rsidRPr="001377A6" w:rsidRDefault="00033416" w:rsidP="00033416">
      <w:pPr>
        <w:pStyle w:val="Body"/>
      </w:pPr>
      <w:r>
        <w:t xml:space="preserve">Auditor </w:t>
      </w:r>
      <w:r w:rsidRPr="001377A6">
        <w:t>Capacity, Goal 1</w:t>
      </w:r>
      <w:r w:rsidR="007A7295">
        <w:t>30</w:t>
      </w:r>
      <w:r w:rsidRPr="001377A6">
        <w:t xml:space="preserve">%: </w:t>
      </w:r>
      <w:r w:rsidRPr="006813FA">
        <w:t>Green – 1</w:t>
      </w:r>
      <w:r w:rsidR="0053129E">
        <w:t>29</w:t>
      </w:r>
      <w:r w:rsidRPr="006813FA">
        <w:t>%</w:t>
      </w:r>
      <w:r w:rsidRPr="001377A6">
        <w:t xml:space="preserve"> capacity projected through </w:t>
      </w:r>
      <w:r w:rsidR="0053129E">
        <w:t>Jul 2017</w:t>
      </w:r>
      <w:r w:rsidRPr="001377A6">
        <w:t>.</w:t>
      </w:r>
    </w:p>
    <w:p w14:paraId="03EC7AA5" w14:textId="77777777" w:rsidR="00033416" w:rsidRPr="001377A6" w:rsidRDefault="00033416" w:rsidP="00033416">
      <w:pPr>
        <w:pStyle w:val="Body"/>
      </w:pPr>
      <w:r w:rsidRPr="001377A6">
        <w:t xml:space="preserve">On-Time Certifications, Goal 98% on-time: </w:t>
      </w:r>
      <w:r w:rsidR="007A7295">
        <w:t>Green</w:t>
      </w:r>
      <w:r w:rsidRPr="006813FA">
        <w:t xml:space="preserve"> – </w:t>
      </w:r>
      <w:r w:rsidR="007A7295">
        <w:t>100</w:t>
      </w:r>
      <w:r w:rsidRPr="006813FA">
        <w:t>%</w:t>
      </w:r>
      <w:r w:rsidR="001377A6">
        <w:t>;</w:t>
      </w:r>
      <w:r w:rsidRPr="001377A6">
        <w:t xml:space="preserve"> </w:t>
      </w:r>
      <w:r w:rsidR="007A7295">
        <w:t>no lapsed cert</w:t>
      </w:r>
      <w:r w:rsidR="0053129E">
        <w:t>s</w:t>
      </w:r>
      <w:r w:rsidRPr="001377A6">
        <w:t>.</w:t>
      </w:r>
    </w:p>
    <w:p w14:paraId="2229C484" w14:textId="77777777" w:rsidR="00033416" w:rsidRPr="001377A6" w:rsidRDefault="00033416" w:rsidP="00033416">
      <w:pPr>
        <w:pStyle w:val="Body"/>
      </w:pPr>
      <w:r w:rsidRPr="001377A6">
        <w:t xml:space="preserve">Supplier Merit, </w:t>
      </w:r>
      <w:r w:rsidR="00EE7E69">
        <w:t>Action Target Level</w:t>
      </w:r>
      <w:r w:rsidRPr="001377A6">
        <w:t xml:space="preserve"> 80%: </w:t>
      </w:r>
      <w:r w:rsidRPr="006813FA">
        <w:t>Yellow – 7</w:t>
      </w:r>
      <w:r w:rsidR="0053129E">
        <w:t>4</w:t>
      </w:r>
      <w:r w:rsidRPr="006813FA">
        <w:t>%</w:t>
      </w:r>
      <w:r w:rsidRPr="001377A6">
        <w:t xml:space="preserve"> on merit as of </w:t>
      </w:r>
      <w:r w:rsidR="0053129E">
        <w:t>January</w:t>
      </w:r>
      <w:r w:rsidRPr="001377A6">
        <w:t xml:space="preserve"> 201</w:t>
      </w:r>
      <w:r w:rsidR="0053129E">
        <w:t>7</w:t>
      </w:r>
      <w:r w:rsidRPr="001377A6">
        <w:t xml:space="preserve">. </w:t>
      </w:r>
    </w:p>
    <w:p w14:paraId="3764B4C0" w14:textId="77777777" w:rsidR="00033416" w:rsidRDefault="00033416" w:rsidP="00033416">
      <w:pPr>
        <w:pStyle w:val="Body"/>
      </w:pPr>
      <w:r w:rsidRPr="005E09F7">
        <w:t>Cycle Time</w:t>
      </w:r>
      <w:r>
        <w:t xml:space="preserve"> </w:t>
      </w:r>
      <w:r w:rsidR="0053129E">
        <w:rPr>
          <w:u w:val="single"/>
        </w:rPr>
        <w:t>Oct 2016-Jan 2017</w:t>
      </w:r>
      <w:r>
        <w:rPr>
          <w:u w:val="single"/>
        </w:rPr>
        <w:t xml:space="preserve">, </w:t>
      </w:r>
      <w:r w:rsidR="00CC1EBE">
        <w:rPr>
          <w:u w:val="single"/>
        </w:rPr>
        <w:t>4</w:t>
      </w:r>
      <w:r w:rsidR="0053129E">
        <w:rPr>
          <w:u w:val="single"/>
        </w:rPr>
        <w:t>4</w:t>
      </w:r>
      <w:r w:rsidR="005E5CE3">
        <w:rPr>
          <w:u w:val="single"/>
        </w:rPr>
        <w:t xml:space="preserve"> </w:t>
      </w:r>
      <w:r>
        <w:rPr>
          <w:u w:val="single"/>
        </w:rPr>
        <w:t>audits</w:t>
      </w:r>
    </w:p>
    <w:p w14:paraId="2D76F774" w14:textId="77777777" w:rsidR="00033416" w:rsidRDefault="00033416" w:rsidP="00033416">
      <w:pPr>
        <w:pStyle w:val="ListParagraph"/>
        <w:ind w:left="1440"/>
      </w:pPr>
      <w:r>
        <w:t xml:space="preserve">Total, Goal 53 days: </w:t>
      </w:r>
      <w:r w:rsidRPr="00DD4160">
        <w:t>Green</w:t>
      </w:r>
      <w:r>
        <w:t xml:space="preserve"> </w:t>
      </w:r>
      <w:r w:rsidR="0053129E">
        <w:t>Nov</w:t>
      </w:r>
      <w:r w:rsidR="00CC1EBE">
        <w:t xml:space="preserve">, </w:t>
      </w:r>
      <w:r w:rsidR="0053129E">
        <w:t>Dec, Jan</w:t>
      </w:r>
      <w:r>
        <w:t xml:space="preserve"> (</w:t>
      </w:r>
      <w:r w:rsidR="0053129E">
        <w:t>44, 46, 52</w:t>
      </w:r>
      <w:r>
        <w:t>) days.</w:t>
      </w:r>
      <w:r w:rsidR="00AD2E45" w:rsidRPr="00AD2E45">
        <w:t xml:space="preserve"> </w:t>
      </w:r>
      <w:r w:rsidR="00AD2E45">
        <w:t xml:space="preserve">Red </w:t>
      </w:r>
      <w:r w:rsidR="0053129E">
        <w:t>Oct</w:t>
      </w:r>
      <w:r w:rsidR="00AD2E45">
        <w:t xml:space="preserve"> (</w:t>
      </w:r>
      <w:r w:rsidR="0053129E">
        <w:t>62</w:t>
      </w:r>
      <w:r w:rsidR="00AD2E45">
        <w:t>) days,</w:t>
      </w:r>
    </w:p>
    <w:p w14:paraId="47FFDE7A" w14:textId="77777777" w:rsidR="00033416" w:rsidRDefault="00033416" w:rsidP="00033416">
      <w:pPr>
        <w:pStyle w:val="ListParagraph"/>
        <w:ind w:left="1440"/>
      </w:pPr>
      <w:r>
        <w:t xml:space="preserve">Staff, Goal 17 days: </w:t>
      </w:r>
      <w:r w:rsidRPr="00DD4160">
        <w:t>Green</w:t>
      </w:r>
      <w:r>
        <w:t xml:space="preserve"> all months (</w:t>
      </w:r>
      <w:r w:rsidR="0036647B">
        <w:t>10</w:t>
      </w:r>
      <w:r>
        <w:t xml:space="preserve">, </w:t>
      </w:r>
      <w:r w:rsidR="0036647B">
        <w:t>6</w:t>
      </w:r>
      <w:r>
        <w:t xml:space="preserve">, </w:t>
      </w:r>
      <w:r w:rsidR="0036647B">
        <w:t>7</w:t>
      </w:r>
      <w:r>
        <w:t xml:space="preserve">, </w:t>
      </w:r>
      <w:r w:rsidR="0036647B">
        <w:t>6</w:t>
      </w:r>
      <w:r>
        <w:t>) days.</w:t>
      </w:r>
    </w:p>
    <w:p w14:paraId="3E06D725" w14:textId="77777777" w:rsidR="00033416" w:rsidRDefault="00033416" w:rsidP="00033416">
      <w:pPr>
        <w:pStyle w:val="ListParagraph"/>
        <w:ind w:left="1440"/>
      </w:pPr>
      <w:r w:rsidRPr="002C7CFD">
        <w:t>Supplier</w:t>
      </w:r>
      <w:r>
        <w:t>,</w:t>
      </w:r>
      <w:r w:rsidRPr="002C7CFD">
        <w:t xml:space="preserve"> Goal 28 days: </w:t>
      </w:r>
      <w:r>
        <w:t xml:space="preserve">Green </w:t>
      </w:r>
      <w:r w:rsidR="0036647B">
        <w:t>Nov, Dec</w:t>
      </w:r>
      <w:r>
        <w:t xml:space="preserve"> (</w:t>
      </w:r>
      <w:r w:rsidR="0036647B">
        <w:t>23, 28</w:t>
      </w:r>
      <w:r>
        <w:t>) days</w:t>
      </w:r>
      <w:r w:rsidRPr="002C7CFD">
        <w:t>.</w:t>
      </w:r>
      <w:r>
        <w:t xml:space="preserve"> </w:t>
      </w:r>
      <w:r w:rsidR="00AD2E45">
        <w:t>Red</w:t>
      </w:r>
      <w:r>
        <w:t xml:space="preserve"> </w:t>
      </w:r>
      <w:r w:rsidR="0036647B">
        <w:t>Oct, Jan</w:t>
      </w:r>
      <w:r>
        <w:t xml:space="preserve"> (</w:t>
      </w:r>
      <w:r w:rsidR="005E5CE3">
        <w:t>3</w:t>
      </w:r>
      <w:r w:rsidR="0036647B">
        <w:t>9</w:t>
      </w:r>
      <w:r w:rsidR="00AD2E45">
        <w:t xml:space="preserve">, </w:t>
      </w:r>
      <w:r w:rsidR="00933419">
        <w:t>3</w:t>
      </w:r>
      <w:r w:rsidR="0036647B">
        <w:t>2</w:t>
      </w:r>
      <w:r>
        <w:t>) days</w:t>
      </w:r>
    </w:p>
    <w:p w14:paraId="277884B4" w14:textId="77777777" w:rsidR="00462F1C" w:rsidRDefault="00462F1C" w:rsidP="00033416">
      <w:pPr>
        <w:pStyle w:val="ListParagraph"/>
        <w:ind w:left="1440"/>
      </w:pPr>
    </w:p>
    <w:p w14:paraId="5587B432" w14:textId="77777777" w:rsidR="00462F1C" w:rsidRDefault="00933419" w:rsidP="00462F1C">
      <w:pPr>
        <w:pStyle w:val="ListParagraph"/>
      </w:pPr>
      <w:r>
        <w:t xml:space="preserve">The CTTG analyzed the increase in </w:t>
      </w:r>
      <w:r w:rsidR="0027290E">
        <w:t>Cycle T</w:t>
      </w:r>
      <w:r w:rsidR="00462F1C">
        <w:t>ime</w:t>
      </w:r>
      <w:r>
        <w:t xml:space="preserve"> and </w:t>
      </w:r>
      <w:r w:rsidR="0036647B">
        <w:t>the previous trends identified trends based on</w:t>
      </w:r>
      <w:r>
        <w:t xml:space="preserve"> number of zero NCR audits, 5+ NCR audits, </w:t>
      </w:r>
      <w:r w:rsidR="0036647B">
        <w:t>and cumulative late days</w:t>
      </w:r>
      <w:r>
        <w:t xml:space="preserve"> are </w:t>
      </w:r>
      <w:r w:rsidR="0036647B">
        <w:t xml:space="preserve">still </w:t>
      </w:r>
      <w:r>
        <w:t>contributing to the cycle time issues</w:t>
      </w:r>
      <w:r w:rsidR="0027290E">
        <w:t xml:space="preserve"> in months that Red</w:t>
      </w:r>
      <w:r>
        <w:t>.</w:t>
      </w:r>
      <w:r w:rsidR="00BE0960">
        <w:t xml:space="preserve"> Another trend is that first round responses typically do not follow the required Root Cause/Corrective Action format.</w:t>
      </w:r>
    </w:p>
    <w:p w14:paraId="5218D4F4" w14:textId="77777777" w:rsidR="00BE0960" w:rsidRDefault="00BE0960" w:rsidP="00BE0960">
      <w:pPr>
        <w:pStyle w:val="ActionItem"/>
      </w:pPr>
      <w:r w:rsidRPr="00BE0960">
        <w:t xml:space="preserve">Action Item: Justin Rausch </w:t>
      </w:r>
      <w:r>
        <w:t>to</w:t>
      </w:r>
      <w:r w:rsidRPr="00BE0960">
        <w:t xml:space="preserve"> </w:t>
      </w:r>
      <w:r>
        <w:t xml:space="preserve">propose an </w:t>
      </w:r>
      <w:r w:rsidRPr="00BE0960">
        <w:t>update the R</w:t>
      </w:r>
      <w:r>
        <w:t xml:space="preserve">oot Cause/Corrective </w:t>
      </w:r>
      <w:r w:rsidRPr="00BE0960">
        <w:t>A</w:t>
      </w:r>
      <w:r>
        <w:t>ction</w:t>
      </w:r>
      <w:r w:rsidRPr="00BE0960">
        <w:t xml:space="preserve"> guidance linked to </w:t>
      </w:r>
      <w:r>
        <w:t>each NCR</w:t>
      </w:r>
      <w:r w:rsidRPr="00BE0960">
        <w:t xml:space="preserve"> and submit it </w:t>
      </w:r>
      <w:r>
        <w:t>to other Staff E</w:t>
      </w:r>
      <w:r w:rsidRPr="00BE0960">
        <w:t>ngineers for review.</w:t>
      </w:r>
      <w:r w:rsidR="00713609" w:rsidRPr="00713609">
        <w:t xml:space="preserve"> </w:t>
      </w:r>
      <w:r w:rsidR="00713609" w:rsidRPr="003F687E">
        <w:t xml:space="preserve">(Due Date: </w:t>
      </w:r>
      <w:r w:rsidR="00713609">
        <w:t>30</w:t>
      </w:r>
      <w:r w:rsidR="00713609" w:rsidRPr="003F687E">
        <w:t>-</w:t>
      </w:r>
      <w:r w:rsidR="00713609">
        <w:t>Apr-2017</w:t>
      </w:r>
      <w:r w:rsidR="00713609" w:rsidRPr="003F687E">
        <w:t>)</w:t>
      </w:r>
    </w:p>
    <w:p w14:paraId="1DAE78F9" w14:textId="77777777" w:rsidR="00033416" w:rsidRDefault="00033416" w:rsidP="00033416">
      <w:pPr>
        <w:pStyle w:val="Heading1"/>
      </w:pPr>
      <w:r>
        <w:t>first time supplier feedback – open</w:t>
      </w:r>
    </w:p>
    <w:p w14:paraId="4963A440" w14:textId="77777777" w:rsidR="00033416" w:rsidRDefault="004D72BA" w:rsidP="00033416">
      <w:pPr>
        <w:pStyle w:val="Body"/>
      </w:pPr>
      <w:r>
        <w:t>Two</w:t>
      </w:r>
      <w:r w:rsidR="00033416" w:rsidRPr="00861A5D">
        <w:t xml:space="preserve"> first time Suppliers </w:t>
      </w:r>
      <w:r w:rsidR="00033416">
        <w:t xml:space="preserve">were </w:t>
      </w:r>
      <w:r w:rsidR="00033416" w:rsidRPr="00861A5D">
        <w:t>in attendance.</w:t>
      </w:r>
      <w:r w:rsidR="00033416">
        <w:t xml:space="preserve"> </w:t>
      </w:r>
      <w:r>
        <w:t xml:space="preserve">Overall, the comments on the Nadcap process were good. The Suppliers did express a concern over the lack of common Subscriber requirements and a desire for fewer Subscriber audits once a Nadcap accreditation is achieved. </w:t>
      </w:r>
    </w:p>
    <w:p w14:paraId="0EA10325" w14:textId="77777777" w:rsidR="00AD2E45" w:rsidRDefault="00AD2E45" w:rsidP="00AD2E45">
      <w:pPr>
        <w:pStyle w:val="Heading1"/>
      </w:pPr>
      <w:r>
        <w:t xml:space="preserve">rail (rolling action item list) – open </w:t>
      </w:r>
    </w:p>
    <w:p w14:paraId="52025864" w14:textId="77777777" w:rsidR="00AD2E45" w:rsidRDefault="00AD2E45" w:rsidP="00AD2E45">
      <w:pPr>
        <w:pStyle w:val="Body"/>
      </w:pPr>
      <w:r>
        <w:t>The Rolling Action Item List (RAIL) was reviewed.</w:t>
      </w:r>
    </w:p>
    <w:p w14:paraId="3F05C5C7" w14:textId="77777777" w:rsidR="00AD2E45" w:rsidRDefault="00AD2E45" w:rsidP="00AD2E45">
      <w:pPr>
        <w:pStyle w:val="Body"/>
      </w:pPr>
      <w:r w:rsidRPr="007F7E08">
        <w:t>For specific details</w:t>
      </w:r>
      <w:r>
        <w:t xml:space="preserve"> on all RAIL items</w:t>
      </w:r>
      <w:r w:rsidRPr="007F7E08">
        <w:t xml:space="preserve">, please see the current </w:t>
      </w:r>
      <w:r>
        <w:t>Coatings</w:t>
      </w:r>
      <w:r w:rsidRPr="007F7E08">
        <w:t xml:space="preserve"> Rolling Action Item List posted at </w:t>
      </w:r>
      <w:hyperlink r:id="rId11" w:history="1">
        <w:r w:rsidRPr="00D109C4">
          <w:rPr>
            <w:rStyle w:val="Hyperlink"/>
          </w:rPr>
          <w:t>www.eAuditNet.com</w:t>
        </w:r>
      </w:hyperlink>
      <w:r w:rsidRPr="007F7E08">
        <w:t>, under Public Documents.</w:t>
      </w:r>
    </w:p>
    <w:p w14:paraId="5B8127C7" w14:textId="77777777" w:rsidR="00AD2E45" w:rsidRDefault="00AD2E45" w:rsidP="00AD2E45">
      <w:pPr>
        <w:pStyle w:val="Heading1"/>
      </w:pPr>
      <w:r>
        <w:t xml:space="preserve">INDUSTRY STANDARD CHAMPION REPORT – OPEN </w:t>
      </w:r>
    </w:p>
    <w:p w14:paraId="04DFD7E3" w14:textId="77777777" w:rsidR="00B03636" w:rsidRDefault="00AD2E45" w:rsidP="008F4D73">
      <w:pPr>
        <w:tabs>
          <w:tab w:val="num" w:pos="720"/>
        </w:tabs>
        <w:ind w:left="720"/>
      </w:pPr>
      <w:r>
        <w:t xml:space="preserve">The Coatings Industry Standard watch list was reviewed. </w:t>
      </w:r>
      <w:r w:rsidR="00EE7E69">
        <w:t>Dan Loveless reported that n</w:t>
      </w:r>
      <w:r w:rsidR="004D72BA">
        <w:t>o changes were made since the October 2016 meeting</w:t>
      </w:r>
      <w:r w:rsidR="00B03636">
        <w:t>.</w:t>
      </w:r>
    </w:p>
    <w:p w14:paraId="1A69C3BC" w14:textId="77777777" w:rsidR="00AD2E45" w:rsidRDefault="00EE7E69" w:rsidP="008F4D73">
      <w:pPr>
        <w:tabs>
          <w:tab w:val="num" w:pos="720"/>
        </w:tabs>
        <w:ind w:left="720"/>
      </w:pPr>
      <w:r>
        <w:t>As a follow-</w:t>
      </w:r>
      <w:r w:rsidR="004D72BA">
        <w:t>up to the discussion during the October 2016 meeting, Jan Wigren and Justin Rausch reported that the change</w:t>
      </w:r>
      <w:r w:rsidR="006B60DB">
        <w:t>s</w:t>
      </w:r>
      <w:r w:rsidR="004D72BA">
        <w:t xml:space="preserve"> made to </w:t>
      </w:r>
      <w:r w:rsidR="008F4D73" w:rsidRPr="00940705">
        <w:t xml:space="preserve">ISO 6508-1 </w:t>
      </w:r>
      <w:r w:rsidR="004D72BA">
        <w:t>d</w:t>
      </w:r>
      <w:r>
        <w:t>o</w:t>
      </w:r>
      <w:r w:rsidR="004D72BA">
        <w:t xml:space="preserve"> not </w:t>
      </w:r>
      <w:r>
        <w:t xml:space="preserve">affect </w:t>
      </w:r>
      <w:r w:rsidR="004D72BA">
        <w:t>the CTTG</w:t>
      </w:r>
      <w:r w:rsidR="008F4D73" w:rsidRPr="00940705">
        <w:t>.</w:t>
      </w:r>
    </w:p>
    <w:p w14:paraId="6686B379" w14:textId="77777777" w:rsidR="00AD2E45" w:rsidRDefault="00AD2E45" w:rsidP="00AD2E45">
      <w:pPr>
        <w:pStyle w:val="Heading1"/>
      </w:pPr>
      <w:r>
        <w:t>SSC Introduction – open</w:t>
      </w:r>
    </w:p>
    <w:p w14:paraId="58A0214A" w14:textId="64338B44" w:rsidR="00FA0B5E" w:rsidRDefault="00AD2E45" w:rsidP="00AD2E45">
      <w:pPr>
        <w:pStyle w:val="Body"/>
      </w:pPr>
      <w:r>
        <w:t xml:space="preserve">Jeff Tomczak, Coatings representative to the Supplier Support Committee (SSC), presented an overview of the SSC and </w:t>
      </w:r>
      <w:r w:rsidRPr="00423F3D">
        <w:t>its activities along with the agenda items for Tuesday’s general SSC meeting</w:t>
      </w:r>
      <w:r>
        <w:t>.</w:t>
      </w:r>
    </w:p>
    <w:p w14:paraId="122A0926" w14:textId="77777777" w:rsidR="00C96A75" w:rsidRDefault="004D72BA" w:rsidP="00C96A75">
      <w:pPr>
        <w:pStyle w:val="Heading1"/>
      </w:pPr>
      <w:r>
        <w:t>OP 1110</w:t>
      </w:r>
      <w:r w:rsidR="00C96A75">
        <w:t xml:space="preserve"> – Open</w:t>
      </w:r>
    </w:p>
    <w:p w14:paraId="71ADB48B" w14:textId="77777777" w:rsidR="00F0444E" w:rsidRDefault="00F0444E" w:rsidP="00F0444E">
      <w:pPr>
        <w:pStyle w:val="Body"/>
      </w:pPr>
      <w:r>
        <w:t>Proposed OP 1110 Mode B Failure Criteria for initial and reaccreditation audits were reviewed to establish the criteria for 2017. Criteria were calculated using 2 years of data (2015 and 2016) for initial audits and 1 year of data (2016), with a failure threshold of 96.5%. For initials, the calculated criteria are nearly identical to the existing criteria for Major NCRs and more than 1 NCR per day less for Total NCRs compared to existing criteria. For reaccreditations, the calculated criteria are 1 NCR less for Major NCRs and almost identical for Total NCRs per audit day, compared to existing criteria.</w:t>
      </w:r>
    </w:p>
    <w:p w14:paraId="2FF42C1D" w14:textId="77777777" w:rsidR="00DB43EF" w:rsidRPr="00DB43EF" w:rsidRDefault="00BE0960" w:rsidP="00F0444E">
      <w:pPr>
        <w:pStyle w:val="Body"/>
      </w:pPr>
      <w:r>
        <w:t>The CTTG decided to maintain the existing criteria from 2016.</w:t>
      </w:r>
    </w:p>
    <w:p w14:paraId="454D1280" w14:textId="77777777" w:rsidR="008F4D73" w:rsidRDefault="00F0444E" w:rsidP="00B03636">
      <w:pPr>
        <w:pStyle w:val="Heading1"/>
      </w:pPr>
      <w:bookmarkStart w:id="1" w:name="_Toc445304184"/>
      <w:bookmarkStart w:id="2" w:name="_Toc445304322"/>
      <w:bookmarkStart w:id="3" w:name="_Toc446009591"/>
      <w:bookmarkStart w:id="4" w:name="_Toc451514333"/>
      <w:r>
        <w:t>Revision of MOU for AC7108/1</w:t>
      </w:r>
      <w:r w:rsidR="008F4D73">
        <w:t xml:space="preserve"> – Open</w:t>
      </w:r>
    </w:p>
    <w:bookmarkEnd w:id="1"/>
    <w:bookmarkEnd w:id="2"/>
    <w:bookmarkEnd w:id="3"/>
    <w:bookmarkEnd w:id="4"/>
    <w:p w14:paraId="38CB9AA8" w14:textId="77777777" w:rsidR="00F0444E" w:rsidRDefault="00F0444E" w:rsidP="00543532">
      <w:pPr>
        <w:pStyle w:val="Body"/>
      </w:pPr>
      <w:r w:rsidRPr="00543532">
        <w:t xml:space="preserve">The CTTG developed a proposed revision of the MOU for AC7108/1 to add ownership of the checklist (Chemical Processing Task Group) and to change the current tradename used in the MOU to the term </w:t>
      </w:r>
      <w:r w:rsidR="00C42A87" w:rsidRPr="00543532">
        <w:t>ceramic metallic corrosion protection coatings</w:t>
      </w:r>
      <w:r w:rsidRPr="00543532">
        <w:t xml:space="preserve">. The proposed change also </w:t>
      </w:r>
      <w:r w:rsidR="00543532" w:rsidRPr="00543532">
        <w:t xml:space="preserve">includes a request giving the CTTG the ability to </w:t>
      </w:r>
      <w:r w:rsidRPr="00543532">
        <w:t xml:space="preserve">comment on revisions prior to </w:t>
      </w:r>
      <w:r w:rsidR="00543532" w:rsidRPr="00543532">
        <w:t xml:space="preserve">them being </w:t>
      </w:r>
      <w:r w:rsidR="00C42A87" w:rsidRPr="00543532">
        <w:t>ballot</w:t>
      </w:r>
      <w:r w:rsidR="00C42A87">
        <w:t>ed</w:t>
      </w:r>
      <w:r w:rsidRPr="00543532">
        <w:t>.</w:t>
      </w:r>
    </w:p>
    <w:p w14:paraId="75F8F6EB" w14:textId="77777777" w:rsidR="00543532" w:rsidRPr="00543532" w:rsidRDefault="00543532" w:rsidP="00543532">
      <w:pPr>
        <w:pStyle w:val="ActionItem"/>
      </w:pPr>
      <w:r w:rsidRPr="003F687E">
        <w:t xml:space="preserve">ACTION ITEM: </w:t>
      </w:r>
      <w:r>
        <w:t>Justin Rausch</w:t>
      </w:r>
      <w:r w:rsidRPr="003F687E">
        <w:t xml:space="preserve"> to </w:t>
      </w:r>
      <w:r w:rsidRPr="00543532">
        <w:t xml:space="preserve">submit the proposed revision </w:t>
      </w:r>
      <w:r>
        <w:t>of</w:t>
      </w:r>
      <w:r w:rsidRPr="00543532">
        <w:t xml:space="preserve"> the </w:t>
      </w:r>
      <w:r w:rsidR="00854479">
        <w:t xml:space="preserve">AC7108/1 </w:t>
      </w:r>
      <w:r w:rsidRPr="00543532">
        <w:t>MOU to the C</w:t>
      </w:r>
      <w:r>
        <w:t xml:space="preserve">hemical Processing </w:t>
      </w:r>
      <w:r w:rsidRPr="00543532">
        <w:t>T</w:t>
      </w:r>
      <w:r>
        <w:t xml:space="preserve">ask </w:t>
      </w:r>
      <w:r w:rsidRPr="00543532">
        <w:t>G</w:t>
      </w:r>
      <w:r>
        <w:t>roup</w:t>
      </w:r>
      <w:r w:rsidRPr="003F687E">
        <w:t xml:space="preserve">. (Due Date: </w:t>
      </w:r>
      <w:r>
        <w:t>31</w:t>
      </w:r>
      <w:r w:rsidRPr="003F687E">
        <w:t>-</w:t>
      </w:r>
      <w:r>
        <w:t>Mar-2017</w:t>
      </w:r>
      <w:r w:rsidRPr="003F687E">
        <w:t>)</w:t>
      </w:r>
    </w:p>
    <w:p w14:paraId="6B25980B" w14:textId="77777777" w:rsidR="00F0444E" w:rsidRDefault="00543532" w:rsidP="00543532">
      <w:pPr>
        <w:pStyle w:val="Body"/>
      </w:pPr>
      <w:r>
        <w:t>Martin LaPierre presented proposed clarifications to AC7108/1 based on current AMS 2750 requirements</w:t>
      </w:r>
      <w:r w:rsidR="00F0444E" w:rsidRPr="00543532">
        <w:t>.</w:t>
      </w:r>
    </w:p>
    <w:p w14:paraId="1C46D5CF" w14:textId="52ADCAA2" w:rsidR="00543532" w:rsidRPr="00DF6960" w:rsidRDefault="00543532" w:rsidP="00543532">
      <w:pPr>
        <w:pStyle w:val="ActionItem"/>
      </w:pPr>
      <w:r w:rsidRPr="00DF6960">
        <w:t>ACTION ITEM: Martin LaPierre and Joshua Crockett to re</w:t>
      </w:r>
      <w:r w:rsidR="00DF6960">
        <w:t>do</w:t>
      </w:r>
      <w:r w:rsidRPr="00DF6960">
        <w:t xml:space="preserve"> the proposal</w:t>
      </w:r>
      <w:r w:rsidR="00DF6960">
        <w:t>, documenting the proposed changes</w:t>
      </w:r>
      <w:r w:rsidRPr="00DF6960">
        <w:t xml:space="preserve"> using track changes to make it clearer what the proposed changes to the AC7108/1 guidance are. (Due Date: </w:t>
      </w:r>
      <w:r w:rsidR="004874EE">
        <w:t>28</w:t>
      </w:r>
      <w:r w:rsidRPr="00DF6960">
        <w:t>-Apr-2017)</w:t>
      </w:r>
    </w:p>
    <w:p w14:paraId="64852AC2" w14:textId="25915362" w:rsidR="00543532" w:rsidRPr="00DF6960" w:rsidRDefault="00543532" w:rsidP="00543532">
      <w:pPr>
        <w:pStyle w:val="ActionItem"/>
      </w:pPr>
      <w:r w:rsidRPr="00DF6960">
        <w:t xml:space="preserve">ACTION ITEM: Justin Rausch to schedule a WebEx for the CTTG to review the </w:t>
      </w:r>
      <w:r w:rsidR="00DF6960">
        <w:t xml:space="preserve">redone </w:t>
      </w:r>
      <w:r w:rsidRPr="00DF6960">
        <w:t>proposed clarification</w:t>
      </w:r>
      <w:r w:rsidR="00DF6960">
        <w:t>s</w:t>
      </w:r>
      <w:r w:rsidRPr="00DF6960">
        <w:t xml:space="preserve"> of AC7108/1 before submitting to the Chem</w:t>
      </w:r>
      <w:r w:rsidR="00C42A87" w:rsidRPr="00DF6960">
        <w:t>ical</w:t>
      </w:r>
      <w:r w:rsidRPr="00DF6960">
        <w:t xml:space="preserve"> Processing Task Group. (Due Date: </w:t>
      </w:r>
      <w:r w:rsidR="004874EE">
        <w:t>05</w:t>
      </w:r>
      <w:r w:rsidRPr="00DF6960">
        <w:t>-</w:t>
      </w:r>
      <w:r w:rsidR="004874EE">
        <w:t>May</w:t>
      </w:r>
      <w:r w:rsidRPr="00DF6960">
        <w:t>-2017)</w:t>
      </w:r>
    </w:p>
    <w:p w14:paraId="63C63608" w14:textId="2865B10E" w:rsidR="00543532" w:rsidRPr="00543532" w:rsidRDefault="00543532" w:rsidP="00543532">
      <w:pPr>
        <w:pStyle w:val="ActionItem"/>
      </w:pPr>
      <w:r w:rsidRPr="00DF6960">
        <w:t xml:space="preserve">ACTION ITEM: Justin Rausch to submit </w:t>
      </w:r>
      <w:r w:rsidR="00C50E53" w:rsidRPr="00DF6960">
        <w:t xml:space="preserve">the proposed clarification of AC7108/1 </w:t>
      </w:r>
      <w:r w:rsidRPr="00DF6960">
        <w:t>to the Chem</w:t>
      </w:r>
      <w:r w:rsidR="00C42A87" w:rsidRPr="00DF6960">
        <w:t>ical</w:t>
      </w:r>
      <w:r w:rsidRPr="00DF6960">
        <w:t xml:space="preserve"> Processing Task Group</w:t>
      </w:r>
      <w:r w:rsidR="00DF6960">
        <w:t xml:space="preserve"> after CTTG review</w:t>
      </w:r>
      <w:r w:rsidRPr="00DF6960">
        <w:t xml:space="preserve">. (Due Date: </w:t>
      </w:r>
      <w:r w:rsidR="004874EE">
        <w:t>12</w:t>
      </w:r>
      <w:r w:rsidRPr="00DF6960">
        <w:t>-</w:t>
      </w:r>
      <w:r w:rsidR="004874EE">
        <w:t>May</w:t>
      </w:r>
      <w:r w:rsidRPr="00DF6960">
        <w:t>-2017)</w:t>
      </w:r>
    </w:p>
    <w:p w14:paraId="4613BDC7" w14:textId="77777777" w:rsidR="00940FCC" w:rsidRDefault="00940FCC" w:rsidP="00940FCC">
      <w:pPr>
        <w:pStyle w:val="Heading1"/>
      </w:pPr>
      <w:r>
        <w:t>audit criteria (checklist) revision – open</w:t>
      </w:r>
    </w:p>
    <w:p w14:paraId="7E645235" w14:textId="77777777" w:rsidR="00940FCC" w:rsidRDefault="00940FCC" w:rsidP="00940FCC">
      <w:pPr>
        <w:pStyle w:val="Heading2"/>
      </w:pPr>
      <w:r>
        <w:t>A</w:t>
      </w:r>
      <w:r w:rsidR="00111C34">
        <w:t>C7109/</w:t>
      </w:r>
      <w:r w:rsidR="00C50E53">
        <w:t>5</w:t>
      </w:r>
      <w:r>
        <w:t xml:space="preserve"> Rev </w:t>
      </w:r>
      <w:r w:rsidR="00C50E53">
        <w:t>G</w:t>
      </w:r>
      <w:r w:rsidR="00111C34">
        <w:t xml:space="preserve"> Ballot Resolution</w:t>
      </w:r>
    </w:p>
    <w:p w14:paraId="69B2B011" w14:textId="77777777" w:rsidR="00543532" w:rsidRDefault="00940FCC" w:rsidP="00543532">
      <w:pPr>
        <w:pStyle w:val="Body"/>
      </w:pPr>
      <w:r w:rsidRPr="00876A7B">
        <w:t>Ballot comments to AC7109</w:t>
      </w:r>
      <w:r>
        <w:t>/</w:t>
      </w:r>
      <w:r w:rsidR="00C50E53">
        <w:t>5</w:t>
      </w:r>
      <w:r w:rsidRPr="00876A7B">
        <w:t xml:space="preserve"> </w:t>
      </w:r>
      <w:r>
        <w:t xml:space="preserve">Rev </w:t>
      </w:r>
      <w:r w:rsidR="00C50E53">
        <w:t>G</w:t>
      </w:r>
      <w:r>
        <w:t xml:space="preserve"> </w:t>
      </w:r>
      <w:r w:rsidRPr="00876A7B">
        <w:t xml:space="preserve">were resolved. </w:t>
      </w:r>
      <w:r>
        <w:t>This checklist is ready for Task Group affirmation ballot.</w:t>
      </w:r>
    </w:p>
    <w:p w14:paraId="07195CE9" w14:textId="77777777" w:rsidR="00834F32" w:rsidRPr="004F7856" w:rsidRDefault="00834F32" w:rsidP="00834F32">
      <w:pPr>
        <w:pStyle w:val="Heading2"/>
      </w:pPr>
      <w:r w:rsidRPr="004F7856">
        <w:t>AC7109/</w:t>
      </w:r>
      <w:r w:rsidR="00C50E53" w:rsidRPr="004F7856">
        <w:t>2</w:t>
      </w:r>
      <w:r w:rsidRPr="004F7856">
        <w:t xml:space="preserve"> Rev </w:t>
      </w:r>
      <w:r w:rsidR="00C50E53" w:rsidRPr="004F7856">
        <w:t>D</w:t>
      </w:r>
      <w:r w:rsidRPr="004F7856">
        <w:t xml:space="preserve"> </w:t>
      </w:r>
      <w:r w:rsidR="00C50E53" w:rsidRPr="004F7856">
        <w:t>Appendix Discussion</w:t>
      </w:r>
    </w:p>
    <w:p w14:paraId="730E1D39" w14:textId="77777777" w:rsidR="00940FCC" w:rsidRDefault="00C50E53" w:rsidP="00834F32">
      <w:pPr>
        <w:pStyle w:val="Body"/>
      </w:pPr>
      <w:r w:rsidRPr="004F7856">
        <w:t xml:space="preserve">The CTTG resolved to remove the proposed appendix to AC7109/2 based on concerns over whether </w:t>
      </w:r>
      <w:r w:rsidR="0009480B">
        <w:t>all of the parameters are required by industry standard or Subscriber specification and</w:t>
      </w:r>
      <w:r w:rsidR="0009480B" w:rsidRPr="0009480B">
        <w:t xml:space="preserve"> </w:t>
      </w:r>
      <w:r w:rsidR="0009480B">
        <w:t>are</w:t>
      </w:r>
      <w:r w:rsidR="0009480B" w:rsidRPr="0009480B">
        <w:t xml:space="preserve"> con</w:t>
      </w:r>
      <w:r w:rsidR="0009480B">
        <w:t>sistent across all equipment</w:t>
      </w:r>
      <w:r w:rsidRPr="004F7856">
        <w:t>.</w:t>
      </w:r>
    </w:p>
    <w:p w14:paraId="7F8417F4" w14:textId="77777777" w:rsidR="00834F32" w:rsidRDefault="00834F32" w:rsidP="00834F32">
      <w:pPr>
        <w:pStyle w:val="Heading2"/>
      </w:pPr>
      <w:r>
        <w:t>AC7109</w:t>
      </w:r>
      <w:r w:rsidR="0009480B">
        <w:t xml:space="preserve"> </w:t>
      </w:r>
      <w:r>
        <w:t xml:space="preserve">Rev </w:t>
      </w:r>
      <w:r w:rsidR="0009480B">
        <w:t>F</w:t>
      </w:r>
    </w:p>
    <w:p w14:paraId="0997DC69" w14:textId="77777777" w:rsidR="00834F32" w:rsidRDefault="0009480B" w:rsidP="00834F32">
      <w:pPr>
        <w:pStyle w:val="Body"/>
      </w:pPr>
      <w:r>
        <w:t>A revision of AC7109</w:t>
      </w:r>
      <w:r w:rsidR="00834F32">
        <w:t xml:space="preserve"> Rev </w:t>
      </w:r>
      <w:r>
        <w:t>F</w:t>
      </w:r>
      <w:r w:rsidR="00834F32">
        <w:t xml:space="preserve"> was begun and completed. This revision includes the introduction of </w:t>
      </w:r>
      <w:r>
        <w:t>new self-audit requirements along with changes to implement preferred wording developed by the CTTG</w:t>
      </w:r>
      <w:r w:rsidR="00834F32">
        <w:t>.</w:t>
      </w:r>
      <w:r>
        <w:t xml:space="preserve"> This checklist is ready for Task Group ballot.</w:t>
      </w:r>
    </w:p>
    <w:p w14:paraId="21EF69DC" w14:textId="77777777" w:rsidR="009F3992" w:rsidRDefault="009F3992" w:rsidP="00834F32">
      <w:pPr>
        <w:pStyle w:val="Body"/>
      </w:pPr>
      <w:r>
        <w:t xml:space="preserve">The proposed addition of PFMEA was tabled until a decision is made by the NMC </w:t>
      </w:r>
      <w:r w:rsidR="00C42A87">
        <w:t xml:space="preserve">Sub-Team </w:t>
      </w:r>
      <w:r>
        <w:t>that was formed to discuss the topic.</w:t>
      </w:r>
      <w:r w:rsidR="002E3F08">
        <w:t xml:space="preserve"> The concerns are whether the topic is too prescriptive and if it belongs in a special process audit.</w:t>
      </w:r>
    </w:p>
    <w:p w14:paraId="78BCDBDC" w14:textId="77777777" w:rsidR="00834F32" w:rsidRDefault="00982817" w:rsidP="00834F32">
      <w:pPr>
        <w:pStyle w:val="Heading2"/>
      </w:pPr>
      <w:r>
        <w:t>AC7109/1 Rev E</w:t>
      </w:r>
    </w:p>
    <w:p w14:paraId="004B76F2" w14:textId="77777777" w:rsidR="00834F32" w:rsidRDefault="0009480B" w:rsidP="00834F32">
      <w:pPr>
        <w:pStyle w:val="Body"/>
      </w:pPr>
      <w:r>
        <w:t>A revision of AC7109/1 Rev E was begun and completed. This revision includes proposed clarification for several requirements, updates to standardize wording across checklists with similar requirements, and changes to implement preferred wording developed by the CTTG. This checklist is ready for Task Group ballot.</w:t>
      </w:r>
    </w:p>
    <w:p w14:paraId="6A1EC44E" w14:textId="77777777" w:rsidR="0009480B" w:rsidRPr="00834F32" w:rsidRDefault="0009480B" w:rsidP="00834F32">
      <w:pPr>
        <w:pStyle w:val="Body"/>
      </w:pPr>
      <w:r>
        <w:t>Additionally, ballot comments were addressed for AC7109/3 Rev G and AC7109/6 Rev D.</w:t>
      </w:r>
    </w:p>
    <w:p w14:paraId="395DCC7D" w14:textId="77777777" w:rsidR="003A4D04" w:rsidRPr="00847FDE" w:rsidRDefault="003A4D04" w:rsidP="003A4D04">
      <w:pPr>
        <w:pStyle w:val="Heading1"/>
      </w:pPr>
      <w:r w:rsidRPr="00847FDE">
        <w:t>Continuous Improvement Initiative – Open</w:t>
      </w:r>
    </w:p>
    <w:p w14:paraId="5E7AABB4" w14:textId="77777777" w:rsidR="003A4D04" w:rsidRPr="00847FDE" w:rsidRDefault="0009480B" w:rsidP="003A4D04">
      <w:pPr>
        <w:pStyle w:val="Heading2"/>
      </w:pPr>
      <w:r>
        <w:t>Vapor Deposition Technical Briefing</w:t>
      </w:r>
      <w:r w:rsidR="003A4D04" w:rsidRPr="00847FDE">
        <w:t xml:space="preserve"> </w:t>
      </w:r>
      <w:r>
        <w:t>Report-Out</w:t>
      </w:r>
    </w:p>
    <w:p w14:paraId="2319FF7E" w14:textId="77777777" w:rsidR="001A7F10" w:rsidRDefault="0009480B" w:rsidP="001A7F10">
      <w:pPr>
        <w:pStyle w:val="Body"/>
      </w:pPr>
      <w:r w:rsidRPr="0009480B">
        <w:t xml:space="preserve">The Vapor Deposition Technical Briefing </w:t>
      </w:r>
      <w:r w:rsidR="00C42A87" w:rsidRPr="0009480B">
        <w:t xml:space="preserve">Sub-Team </w:t>
      </w:r>
      <w:r w:rsidRPr="0009480B">
        <w:t xml:space="preserve">has </w:t>
      </w:r>
      <w:r>
        <w:t xml:space="preserve">not conducted any meetings yet, as it was </w:t>
      </w:r>
      <w:r w:rsidRPr="0009480B">
        <w:t xml:space="preserve">awaiting a decision on </w:t>
      </w:r>
      <w:r w:rsidR="00C42A87" w:rsidRPr="0009480B">
        <w:t xml:space="preserve">Appendix </w:t>
      </w:r>
      <w:r w:rsidRPr="0009480B">
        <w:t xml:space="preserve">A of AC7109/2. The focus of the </w:t>
      </w:r>
      <w:r w:rsidR="00C42A87" w:rsidRPr="0009480B">
        <w:t xml:space="preserve">Sub-Team </w:t>
      </w:r>
      <w:r w:rsidRPr="0009480B">
        <w:t>will shift from understanding new Nadcap requirements to understanding the technology.</w:t>
      </w:r>
    </w:p>
    <w:p w14:paraId="376B5C37" w14:textId="77777777" w:rsidR="00847FDE" w:rsidRDefault="00847FDE" w:rsidP="00847FDE">
      <w:pPr>
        <w:pStyle w:val="Heading2"/>
      </w:pPr>
      <w:r>
        <w:t xml:space="preserve">Auditor </w:t>
      </w:r>
      <w:r w:rsidR="00CB151B">
        <w:t>Candidate Interview Questions List</w:t>
      </w:r>
      <w:r>
        <w:t xml:space="preserve"> Update</w:t>
      </w:r>
      <w:r w:rsidR="00CB151B">
        <w:t xml:space="preserve"> Report-Out</w:t>
      </w:r>
    </w:p>
    <w:p w14:paraId="2CBD82D9" w14:textId="77777777" w:rsidR="00847FDE" w:rsidRDefault="00CB151B" w:rsidP="00847FDE">
      <w:pPr>
        <w:pStyle w:val="Body"/>
      </w:pPr>
      <w:r w:rsidRPr="00CB151B">
        <w:t xml:space="preserve">The Auditor Candidate Interview Questions </w:t>
      </w:r>
      <w:r w:rsidR="00C42A87" w:rsidRPr="00CB151B">
        <w:t xml:space="preserve">Sub-Team </w:t>
      </w:r>
      <w:r w:rsidR="00847FDE" w:rsidRPr="00847FDE">
        <w:t xml:space="preserve">reported </w:t>
      </w:r>
      <w:r>
        <w:t>that most of the list has been reviewed and updated</w:t>
      </w:r>
      <w:r w:rsidR="00847FDE" w:rsidRPr="00847FDE">
        <w:t xml:space="preserve">. </w:t>
      </w:r>
      <w:r>
        <w:t>One additional meeting will be scheduled to complete the task</w:t>
      </w:r>
      <w:r w:rsidR="00847FDE">
        <w:t>.</w:t>
      </w:r>
    </w:p>
    <w:p w14:paraId="7D5182A4" w14:textId="77777777" w:rsidR="003A4D04" w:rsidRPr="00847FDE" w:rsidRDefault="003A4D04" w:rsidP="001A7F10">
      <w:pPr>
        <w:pStyle w:val="Heading2"/>
      </w:pPr>
      <w:r w:rsidRPr="00847FDE">
        <w:t>Review Project List</w:t>
      </w:r>
    </w:p>
    <w:p w14:paraId="3B0DB62E" w14:textId="77777777" w:rsidR="001A7F10" w:rsidRPr="0037773F" w:rsidRDefault="001A7F10" w:rsidP="001A7F10">
      <w:pPr>
        <w:pStyle w:val="Body"/>
      </w:pPr>
      <w:r w:rsidRPr="00847FDE">
        <w:t>The Continuous Improvement Projects and Potential Technic</w:t>
      </w:r>
      <w:r w:rsidR="00CB151B">
        <w:t>al Briefing lists were reviewed</w:t>
      </w:r>
      <w:r w:rsidR="0037773F">
        <w:t>.</w:t>
      </w:r>
    </w:p>
    <w:p w14:paraId="1812CC12" w14:textId="77777777" w:rsidR="001A7F10" w:rsidRPr="0037773F" w:rsidRDefault="001A7F10" w:rsidP="001A7F10">
      <w:pPr>
        <w:pStyle w:val="Heading2"/>
      </w:pPr>
      <w:r w:rsidRPr="0037773F">
        <w:t>Develop New Project Charter</w:t>
      </w:r>
    </w:p>
    <w:p w14:paraId="242B7B59" w14:textId="77777777" w:rsidR="003A4D04" w:rsidRPr="0037773F" w:rsidRDefault="00CB151B" w:rsidP="001A7F10">
      <w:pPr>
        <w:pStyle w:val="Body"/>
      </w:pPr>
      <w:r>
        <w:t>No additional projects were chartered, as the two active sub-teams will continue</w:t>
      </w:r>
      <w:r w:rsidR="001A7F10" w:rsidRPr="0037773F">
        <w:t>.</w:t>
      </w:r>
    </w:p>
    <w:p w14:paraId="3327D0A3" w14:textId="77777777" w:rsidR="003A4D04" w:rsidRPr="007C3388" w:rsidRDefault="00CB151B" w:rsidP="003A4D04">
      <w:pPr>
        <w:pStyle w:val="Heading1"/>
      </w:pPr>
      <w:r>
        <w:t>Self-audit Requirement Overview</w:t>
      </w:r>
      <w:r w:rsidR="00E03FEB" w:rsidRPr="007C3388">
        <w:t xml:space="preserve"> </w:t>
      </w:r>
      <w:r w:rsidR="001A7F10" w:rsidRPr="007C3388">
        <w:t>– OPEN</w:t>
      </w:r>
    </w:p>
    <w:p w14:paraId="197BC5C0" w14:textId="604626F9" w:rsidR="00B92B75" w:rsidRDefault="00CB151B" w:rsidP="00AA02E6">
      <w:pPr>
        <w:pStyle w:val="Body"/>
      </w:pPr>
      <w:r>
        <w:t>The introduction of the new standardized self-audit requirements was discussed</w:t>
      </w:r>
      <w:r w:rsidR="00AA02E6">
        <w:t>.</w:t>
      </w:r>
      <w:r>
        <w:t xml:space="preserve"> The CTTG determined that no additional pre-audit documents will be required beyond the checklist. Job audit requirements will remain consistent with current requirements for all checklists, except for AC7109/5. </w:t>
      </w:r>
      <w:r w:rsidR="00713609">
        <w:t>The AC7109/5 self-audit job requirements will be verification of all tests within the scope of accreditation with at least one of the tests being witnessed. The requirements from OP</w:t>
      </w:r>
      <w:r w:rsidR="00981819">
        <w:t> </w:t>
      </w:r>
      <w:r w:rsidR="00713609">
        <w:t>1105 will not be enforced until the revision of AC7109 Rev F is completed to introduce the new self-audit questions.</w:t>
      </w:r>
    </w:p>
    <w:p w14:paraId="3C5E03A2" w14:textId="77777777" w:rsidR="00713609" w:rsidRPr="00B93890" w:rsidRDefault="00713609" w:rsidP="00713609">
      <w:pPr>
        <w:pStyle w:val="ActionItem"/>
      </w:pPr>
      <w:r w:rsidRPr="00BE0960">
        <w:t xml:space="preserve">Action Item: Justin Rausch </w:t>
      </w:r>
      <w:r>
        <w:t>to</w:t>
      </w:r>
      <w:r w:rsidRPr="00BE0960">
        <w:t xml:space="preserve"> </w:t>
      </w:r>
      <w:r>
        <w:t>issue an Auditor Advisory indicating the self-audit requirements from OP 1105 are not to be enforced until AC7109 Rev F is effective</w:t>
      </w:r>
      <w:r w:rsidRPr="00BE0960">
        <w:t>.</w:t>
      </w:r>
      <w:r w:rsidRPr="00713609">
        <w:t xml:space="preserve"> </w:t>
      </w:r>
      <w:r w:rsidRPr="003F687E">
        <w:t xml:space="preserve">(Due Date: </w:t>
      </w:r>
      <w:r>
        <w:t>10</w:t>
      </w:r>
      <w:r w:rsidRPr="003F687E">
        <w:t>-</w:t>
      </w:r>
      <w:r>
        <w:t>Mar-2017</w:t>
      </w:r>
      <w:r w:rsidRPr="003F687E">
        <w:t>)</w:t>
      </w:r>
    </w:p>
    <w:p w14:paraId="7DBE301F" w14:textId="77777777" w:rsidR="002E3F08" w:rsidRDefault="002E3F08" w:rsidP="003A4D04">
      <w:pPr>
        <w:pStyle w:val="Heading1"/>
      </w:pPr>
      <w:r>
        <w:t>Potential New Technologies – open</w:t>
      </w:r>
    </w:p>
    <w:p w14:paraId="0449000A" w14:textId="77777777" w:rsidR="002E3F08" w:rsidRPr="002E3F08" w:rsidRDefault="002E3F08" w:rsidP="002E3F08">
      <w:pPr>
        <w:pStyle w:val="Body"/>
      </w:pPr>
      <w:r w:rsidRPr="002E3F08">
        <w:t xml:space="preserve">The </w:t>
      </w:r>
      <w:r>
        <w:t>CTTG</w:t>
      </w:r>
      <w:r w:rsidRPr="002E3F08">
        <w:t xml:space="preserve"> discussed several new technologies that could potentially be added to Coatings requirements, but none are applicable to current Nadcap Coatings </w:t>
      </w:r>
      <w:r w:rsidR="00C42A87" w:rsidRPr="002E3F08">
        <w:t>Subscribers</w:t>
      </w:r>
      <w:r w:rsidRPr="002E3F08">
        <w:t xml:space="preserve">. The group will continue to monitor this annually. New technologies mentioned include cold spray, suspension spray, </w:t>
      </w:r>
      <w:r>
        <w:t xml:space="preserve">coating of </w:t>
      </w:r>
      <w:r w:rsidRPr="002E3F08">
        <w:t>add</w:t>
      </w:r>
      <w:r>
        <w:t>itive manufacturing parts</w:t>
      </w:r>
      <w:r w:rsidRPr="002E3F08">
        <w:t xml:space="preserve">, </w:t>
      </w:r>
      <w:r>
        <w:t>alternate</w:t>
      </w:r>
      <w:r w:rsidRPr="002E3F08">
        <w:t xml:space="preserve"> </w:t>
      </w:r>
      <w:r>
        <w:t xml:space="preserve">surface preparation </w:t>
      </w:r>
      <w:r w:rsidRPr="002E3F08">
        <w:t>technologies, and various new test and inspection methods.</w:t>
      </w:r>
    </w:p>
    <w:p w14:paraId="7F932CF6" w14:textId="77777777" w:rsidR="003A4D04" w:rsidRDefault="003A4D04" w:rsidP="003A4D04">
      <w:pPr>
        <w:pStyle w:val="Heading1"/>
      </w:pPr>
      <w:r>
        <w:t>ssc report – open</w:t>
      </w:r>
    </w:p>
    <w:p w14:paraId="4C30D573" w14:textId="77777777" w:rsidR="003A4D04" w:rsidRDefault="003A4D04" w:rsidP="003A4D04">
      <w:pPr>
        <w:pStyle w:val="Body"/>
      </w:pPr>
      <w:r>
        <w:t xml:space="preserve">Jeff Tomczak </w:t>
      </w:r>
      <w:r w:rsidRPr="002D4E0E">
        <w:rPr>
          <w:color w:val="000000"/>
        </w:rPr>
        <w:t>presented an overview of supplier news and other items of interest from the SSC</w:t>
      </w:r>
      <w:r>
        <w:rPr>
          <w:color w:val="000000"/>
        </w:rPr>
        <w:t xml:space="preserve"> meeting held Tuesday afternoon</w:t>
      </w:r>
      <w:r>
        <w:t xml:space="preserve">. For complete details, see published minutes of the SSC posted on </w:t>
      </w:r>
      <w:hyperlink r:id="rId12" w:history="1">
        <w:r w:rsidRPr="001E0FB4">
          <w:rPr>
            <w:rStyle w:val="Hyperlink"/>
            <w:rFonts w:cs="Arial"/>
            <w:bCs/>
            <w:iCs/>
          </w:rPr>
          <w:t>www.p-r-i.org</w:t>
        </w:r>
      </w:hyperlink>
      <w:r>
        <w:t xml:space="preserve">. </w:t>
      </w:r>
    </w:p>
    <w:p w14:paraId="08796ED4" w14:textId="77777777" w:rsidR="003A4D04" w:rsidRPr="00C93503" w:rsidRDefault="003A4D04" w:rsidP="003A4D04">
      <w:pPr>
        <w:pStyle w:val="Heading1"/>
      </w:pPr>
      <w:r w:rsidRPr="009E5068">
        <w:t>NMC</w:t>
      </w:r>
      <w:r w:rsidRPr="00C93503">
        <w:t>, aqs</w:t>
      </w:r>
      <w:r>
        <w:t>,</w:t>
      </w:r>
      <w:r w:rsidRPr="00C93503">
        <w:t xml:space="preserve"> AND PLANNING &amp; OPS REPORT – OPEN</w:t>
      </w:r>
    </w:p>
    <w:p w14:paraId="359D6A85" w14:textId="77777777" w:rsidR="003A4D04" w:rsidRDefault="003A4D04" w:rsidP="003A4D04">
      <w:pPr>
        <w:pStyle w:val="Body"/>
      </w:pPr>
      <w:r>
        <w:t xml:space="preserve">Vern Talmadge updated the CTTG on items of interest from the Nadcap Management Council (NMC). For complete details, see published minutes of the NMC posted on </w:t>
      </w:r>
      <w:hyperlink r:id="rId13" w:history="1">
        <w:r w:rsidRPr="001E0FB4">
          <w:rPr>
            <w:rStyle w:val="Hyperlink"/>
            <w:rFonts w:cs="Arial"/>
            <w:bCs/>
            <w:iCs/>
          </w:rPr>
          <w:t>www.p-r-i.org</w:t>
        </w:r>
      </w:hyperlink>
      <w:r>
        <w:t xml:space="preserve">. </w:t>
      </w:r>
    </w:p>
    <w:p w14:paraId="730C504C" w14:textId="77777777" w:rsidR="003A4D04" w:rsidRDefault="00E03FEB" w:rsidP="003A4D04">
      <w:pPr>
        <w:pStyle w:val="Body"/>
        <w:rPr>
          <w:rFonts w:cs="Arial"/>
        </w:rPr>
      </w:pPr>
      <w:r>
        <w:rPr>
          <w:rFonts w:cs="Arial"/>
        </w:rPr>
        <w:t>Joel Mohnacky</w:t>
      </w:r>
      <w:r w:rsidR="003A4D04">
        <w:rPr>
          <w:rFonts w:cs="Arial"/>
        </w:rPr>
        <w:t xml:space="preserve"> reported out on the Aerospace Quality Systems (AQS) liaison meeting. AQS </w:t>
      </w:r>
      <w:r w:rsidR="007B73A3">
        <w:rPr>
          <w:rFonts w:cs="Arial"/>
        </w:rPr>
        <w:t xml:space="preserve">is </w:t>
      </w:r>
      <w:r>
        <w:rPr>
          <w:rFonts w:cs="Arial"/>
        </w:rPr>
        <w:t>continuing to review</w:t>
      </w:r>
      <w:r w:rsidR="003A4D04">
        <w:rPr>
          <w:rFonts w:cs="Arial"/>
        </w:rPr>
        <w:t xml:space="preserve"> checklists for QMS redundancy.</w:t>
      </w:r>
      <w:r w:rsidR="00713609">
        <w:rPr>
          <w:rFonts w:cs="Arial"/>
        </w:rPr>
        <w:t xml:space="preserve"> AQS is developing guidance on how to word requirements to look for </w:t>
      </w:r>
      <w:r w:rsidR="00717E47">
        <w:rPr>
          <w:rFonts w:cs="Arial"/>
        </w:rPr>
        <w:t>compliance as opposed to existence.</w:t>
      </w:r>
    </w:p>
    <w:p w14:paraId="3A716799" w14:textId="77777777" w:rsidR="003A4D04" w:rsidRDefault="00717E47" w:rsidP="003A4D04">
      <w:pPr>
        <w:pStyle w:val="Body"/>
        <w:rPr>
          <w:rFonts w:cs="Arial"/>
        </w:rPr>
      </w:pPr>
      <w:r>
        <w:rPr>
          <w:rFonts w:cs="Arial"/>
        </w:rPr>
        <w:t>Udo Schuelke</w:t>
      </w:r>
      <w:r w:rsidR="003A4D04">
        <w:rPr>
          <w:rFonts w:cs="Arial"/>
        </w:rPr>
        <w:t xml:space="preserve"> briefed the CTTG on items of interest from the Planning and Ops meeting. Major discussion topics were: </w:t>
      </w:r>
      <w:r w:rsidR="004655F0">
        <w:rPr>
          <w:rFonts w:cs="Arial"/>
        </w:rPr>
        <w:t xml:space="preserve">potential lengthening of audits due to complexity and translation issues, </w:t>
      </w:r>
      <w:r w:rsidR="00CD4A39">
        <w:rPr>
          <w:rFonts w:cs="Arial"/>
        </w:rPr>
        <w:t>the Planning and Ops meeting format and length, the need for pre-audit documentation with the introduction of new self-audit requirements</w:t>
      </w:r>
      <w:r w:rsidR="003A4D04">
        <w:rPr>
          <w:rFonts w:cs="Arial"/>
        </w:rPr>
        <w:t>.</w:t>
      </w:r>
    </w:p>
    <w:p w14:paraId="2BA03951" w14:textId="77777777" w:rsidR="003A4D04" w:rsidRDefault="003A4D04" w:rsidP="003A4D04">
      <w:pPr>
        <w:pStyle w:val="Heading1"/>
      </w:pPr>
      <w:r w:rsidRPr="00390074">
        <w:t>new</w:t>
      </w:r>
      <w:r>
        <w:t xml:space="preserve"> business – open</w:t>
      </w:r>
    </w:p>
    <w:p w14:paraId="3CC39F02" w14:textId="77777777" w:rsidR="003A4D04" w:rsidRDefault="00CD4A39" w:rsidP="003A4D04">
      <w:pPr>
        <w:pStyle w:val="Body"/>
      </w:pPr>
      <w:r>
        <w:t xml:space="preserve">Technical briefings presented as auditor training will also be presented to the Task </w:t>
      </w:r>
      <w:r w:rsidR="00AE1E82">
        <w:t>Group as an educational tool.</w:t>
      </w:r>
    </w:p>
    <w:p w14:paraId="37B7ED9D" w14:textId="7E5203D5" w:rsidR="00AE1E82" w:rsidRDefault="00AE1E82" w:rsidP="003A4D04">
      <w:pPr>
        <w:pStyle w:val="Body"/>
      </w:pPr>
      <w:r w:rsidRPr="002E3F08">
        <w:t>Vern Talmadge asked for clarification relative to AC7109/7 on application to the heat treatment</w:t>
      </w:r>
      <w:r w:rsidR="002E3F08">
        <w:t xml:space="preserve"> of parts by Coatings Suppliers. The Heat </w:t>
      </w:r>
      <w:r w:rsidR="00C42A87">
        <w:t xml:space="preserve">Treating </w:t>
      </w:r>
      <w:r w:rsidR="002E3F08">
        <w:t xml:space="preserve">Task Group has expressed concern over the applicability of this checklist. Currently, the checklist is used for heat treatments directly related to coated parts. Discussions will continue about a potential MOU </w:t>
      </w:r>
      <w:r w:rsidR="007B73A3">
        <w:t>with</w:t>
      </w:r>
      <w:r w:rsidR="002E3F08">
        <w:t xml:space="preserve"> the Heat </w:t>
      </w:r>
      <w:r w:rsidR="00C42A87">
        <w:t xml:space="preserve">Treating </w:t>
      </w:r>
      <w:r w:rsidR="002E3F08">
        <w:t xml:space="preserve">Task Group </w:t>
      </w:r>
      <w:r w:rsidR="005C2228">
        <w:t>to potential</w:t>
      </w:r>
      <w:r w:rsidR="00C42A87">
        <w:t>ly</w:t>
      </w:r>
      <w:r w:rsidR="005C2228">
        <w:t xml:space="preserve"> provide insight for </w:t>
      </w:r>
      <w:r w:rsidR="002E3F08">
        <w:t>AC7109/7.</w:t>
      </w:r>
    </w:p>
    <w:p w14:paraId="26236A5E" w14:textId="77777777" w:rsidR="005C2228" w:rsidRDefault="005C2228" w:rsidP="005C2228">
      <w:pPr>
        <w:pStyle w:val="ActionItem"/>
      </w:pPr>
      <w:r w:rsidRPr="00BE0960">
        <w:t xml:space="preserve">Action Item: Justin Rausch </w:t>
      </w:r>
      <w:r>
        <w:t>to</w:t>
      </w:r>
      <w:r w:rsidRPr="00BE0960">
        <w:t xml:space="preserve"> </w:t>
      </w:r>
      <w:r>
        <w:t>issue an Auditor Advisory indicating that the requirement in AC7109/7, Paragraph 5.2.1.7 will not be enforced as this question is based on a misinterpretation of AMS 2750 Table 1</w:t>
      </w:r>
      <w:r w:rsidRPr="00BE0960">
        <w:t>.</w:t>
      </w:r>
      <w:r w:rsidRPr="00713609">
        <w:t xml:space="preserve"> </w:t>
      </w:r>
      <w:r w:rsidRPr="003F687E">
        <w:t xml:space="preserve">(Due Date: </w:t>
      </w:r>
      <w:r>
        <w:t>10</w:t>
      </w:r>
      <w:r w:rsidRPr="003F687E">
        <w:t>-</w:t>
      </w:r>
      <w:r>
        <w:t>Mar-2017</w:t>
      </w:r>
      <w:r w:rsidRPr="003F687E">
        <w:t>)</w:t>
      </w:r>
    </w:p>
    <w:p w14:paraId="37B452D1" w14:textId="77777777" w:rsidR="003A4D04" w:rsidRDefault="003A4D04" w:rsidP="003A4D04">
      <w:pPr>
        <w:pStyle w:val="Heading1"/>
      </w:pPr>
      <w:r>
        <w:t xml:space="preserve">meeting conclusion – open </w:t>
      </w:r>
    </w:p>
    <w:p w14:paraId="1BD9FE62" w14:textId="77777777" w:rsidR="003A4D04" w:rsidRDefault="003A4D04" w:rsidP="003A4D04">
      <w:pPr>
        <w:pStyle w:val="Heading2"/>
        <w:tabs>
          <w:tab w:val="clear" w:pos="720"/>
          <w:tab w:val="num" w:pos="1080"/>
        </w:tabs>
      </w:pPr>
      <w:r>
        <w:t>Review Expectations</w:t>
      </w:r>
    </w:p>
    <w:p w14:paraId="1500C301" w14:textId="77777777" w:rsidR="003A4D04" w:rsidRDefault="003A4D04" w:rsidP="003A4D04">
      <w:pPr>
        <w:pStyle w:val="Body"/>
        <w:rPr>
          <w:rFonts w:cs="Arial"/>
        </w:rPr>
      </w:pPr>
      <w:r w:rsidRPr="00F1699F">
        <w:rPr>
          <w:rFonts w:cs="Arial"/>
        </w:rPr>
        <w:t>All expressed expectations for this meeting were met</w:t>
      </w:r>
      <w:r>
        <w:rPr>
          <w:rFonts w:cs="Arial"/>
        </w:rPr>
        <w:t>.</w:t>
      </w:r>
    </w:p>
    <w:p w14:paraId="5945C931" w14:textId="77777777" w:rsidR="003A4D04" w:rsidRPr="00847FDE" w:rsidRDefault="003A4D04" w:rsidP="003A4D04">
      <w:pPr>
        <w:pStyle w:val="Heading2"/>
        <w:tabs>
          <w:tab w:val="clear" w:pos="720"/>
          <w:tab w:val="num" w:pos="1080"/>
        </w:tabs>
      </w:pPr>
      <w:r w:rsidRPr="00847FDE">
        <w:t>Agenda Items for Next Meeting</w:t>
      </w:r>
    </w:p>
    <w:p w14:paraId="65442FBF" w14:textId="35899F74" w:rsidR="003A4D04" w:rsidRPr="00846216" w:rsidRDefault="003A4D04" w:rsidP="003A4D04">
      <w:pPr>
        <w:pStyle w:val="Body"/>
      </w:pPr>
      <w:r w:rsidRPr="00847FDE">
        <w:rPr>
          <w:rFonts w:cs="Arial"/>
        </w:rPr>
        <w:t xml:space="preserve">The next meeting will be </w:t>
      </w:r>
      <w:r w:rsidR="00AE1E82">
        <w:rPr>
          <w:rFonts w:cs="Arial"/>
        </w:rPr>
        <w:t>June</w:t>
      </w:r>
      <w:r w:rsidR="00FC3A28" w:rsidRPr="00847FDE">
        <w:rPr>
          <w:rFonts w:cs="Arial"/>
        </w:rPr>
        <w:t xml:space="preserve"> </w:t>
      </w:r>
      <w:r w:rsidR="00AE1E82">
        <w:rPr>
          <w:rFonts w:cs="Arial"/>
        </w:rPr>
        <w:t>05-08</w:t>
      </w:r>
      <w:r w:rsidR="00FC3A28" w:rsidRPr="00847FDE">
        <w:rPr>
          <w:rFonts w:cs="Arial"/>
        </w:rPr>
        <w:t>, 2017</w:t>
      </w:r>
      <w:r w:rsidRPr="00847FDE">
        <w:rPr>
          <w:rFonts w:cs="Arial"/>
        </w:rPr>
        <w:t xml:space="preserve"> in </w:t>
      </w:r>
      <w:r w:rsidR="00AE1E82">
        <w:rPr>
          <w:rFonts w:cs="Arial"/>
        </w:rPr>
        <w:t>Berlin, German</w:t>
      </w:r>
      <w:r w:rsidR="007B73A3">
        <w:rPr>
          <w:rFonts w:cs="Arial"/>
        </w:rPr>
        <w:t>y</w:t>
      </w:r>
      <w:r w:rsidR="003A1D5B" w:rsidRPr="00847FDE">
        <w:rPr>
          <w:rFonts w:cs="Arial"/>
        </w:rPr>
        <w:t>.</w:t>
      </w:r>
      <w:r w:rsidRPr="00847FDE">
        <w:rPr>
          <w:rFonts w:cs="Arial"/>
        </w:rPr>
        <w:t xml:space="preserve"> Proposed agenda items beyond the standard items include:</w:t>
      </w:r>
      <w:r w:rsidRPr="00847FDE">
        <w:t xml:space="preserve"> </w:t>
      </w:r>
      <w:r w:rsidR="00FC3A28" w:rsidRPr="00847FDE">
        <w:t>ballot</w:t>
      </w:r>
      <w:r w:rsidR="00AE1E82">
        <w:t xml:space="preserve"> comment resolution for AC7109 and AC7109/1</w:t>
      </w:r>
      <w:r w:rsidR="00FC3A28" w:rsidRPr="00847FDE">
        <w:t xml:space="preserve">; </w:t>
      </w:r>
      <w:r w:rsidR="00AE1E82">
        <w:t>review and potential improvement of root cause/corrective action guidance</w:t>
      </w:r>
      <w:r w:rsidR="007B73A3">
        <w:t>;</w:t>
      </w:r>
      <w:r w:rsidR="00AE1E82">
        <w:t xml:space="preserve"> addition of self-audit guidance to the CT Audit Handbook</w:t>
      </w:r>
      <w:r w:rsidR="007B73A3">
        <w:t>;</w:t>
      </w:r>
      <w:r w:rsidR="00AE1E82">
        <w:t xml:space="preserve"> updates for the Vapor Deposition and Auditor Interview Question List Update sub-teams</w:t>
      </w:r>
      <w:r w:rsidR="007B73A3">
        <w:t>;</w:t>
      </w:r>
      <w:r w:rsidR="00AE1E82">
        <w:t xml:space="preserve"> development of the </w:t>
      </w:r>
      <w:r w:rsidR="00C42A87">
        <w:t>October</w:t>
      </w:r>
      <w:r w:rsidR="00AE1E82">
        <w:t xml:space="preserve"> </w:t>
      </w:r>
      <w:r w:rsidR="00C42A87">
        <w:t xml:space="preserve">2017 </w:t>
      </w:r>
      <w:r w:rsidR="00AE1E82">
        <w:t>Auditor Conference agenda</w:t>
      </w:r>
      <w:r w:rsidR="007B73A3">
        <w:t>;</w:t>
      </w:r>
      <w:r w:rsidR="00AE1E82">
        <w:t xml:space="preserve"> </w:t>
      </w:r>
      <w:r w:rsidR="007B73A3">
        <w:t>u</w:t>
      </w:r>
      <w:r w:rsidR="00AE1E82">
        <w:t>pdate of the CT Audit Resource guide</w:t>
      </w:r>
      <w:r w:rsidR="007B73A3">
        <w:t>;</w:t>
      </w:r>
      <w:r w:rsidR="00AE1E82">
        <w:t xml:space="preserve"> discussion on the potential inclusion of PFMEA</w:t>
      </w:r>
      <w:r w:rsidRPr="00847FDE">
        <w:t>.</w:t>
      </w:r>
    </w:p>
    <w:p w14:paraId="03E88F27" w14:textId="77777777" w:rsidR="003A4D04" w:rsidRDefault="003A4D04" w:rsidP="003A4D04">
      <w:pPr>
        <w:pStyle w:val="Heading2"/>
        <w:tabs>
          <w:tab w:val="clear" w:pos="720"/>
          <w:tab w:val="num" w:pos="1080"/>
        </w:tabs>
      </w:pPr>
      <w:r>
        <w:t>Review New Action Items</w:t>
      </w:r>
    </w:p>
    <w:p w14:paraId="0BC879B4" w14:textId="77777777" w:rsidR="003A4D04" w:rsidRDefault="003A4D04" w:rsidP="003A4D04">
      <w:pPr>
        <w:pStyle w:val="Body"/>
        <w:rPr>
          <w:rFonts w:cs="Arial"/>
        </w:rPr>
      </w:pPr>
      <w:r>
        <w:rPr>
          <w:rFonts w:cs="Arial"/>
        </w:rPr>
        <w:t>New action items were documented by CTTG Secretary</w:t>
      </w:r>
      <w:r w:rsidR="00C42A87">
        <w:rPr>
          <w:rFonts w:cs="Arial"/>
        </w:rPr>
        <w:t>,</w:t>
      </w:r>
      <w:r>
        <w:rPr>
          <w:rFonts w:cs="Arial"/>
        </w:rPr>
        <w:t xml:space="preserve"> Dale Harmon. For details, see the Coatings Rolling Action Item List (RAIL) posted at </w:t>
      </w:r>
      <w:hyperlink r:id="rId14" w:history="1">
        <w:r w:rsidRPr="001B4DE4">
          <w:rPr>
            <w:rStyle w:val="Hyperlink"/>
            <w:rFonts w:cs="Arial"/>
          </w:rPr>
          <w:t>www.eAuditNet.com</w:t>
        </w:r>
      </w:hyperlink>
      <w:r>
        <w:rPr>
          <w:rFonts w:cs="Arial"/>
        </w:rPr>
        <w:t>.</w:t>
      </w:r>
    </w:p>
    <w:p w14:paraId="24F19A27" w14:textId="77777777" w:rsidR="003A4D04" w:rsidRPr="002A1EF7" w:rsidRDefault="003A4D04" w:rsidP="003A4D04">
      <w:pPr>
        <w:pStyle w:val="Heading2"/>
        <w:tabs>
          <w:tab w:val="clear" w:pos="720"/>
          <w:tab w:val="num" w:pos="1080"/>
        </w:tabs>
        <w:rPr>
          <w:rFonts w:cs="Arial"/>
        </w:rPr>
      </w:pPr>
      <w:r w:rsidRPr="002A1EF7">
        <w:t>Meeting Feedback</w:t>
      </w:r>
    </w:p>
    <w:p w14:paraId="63B380A4" w14:textId="77777777" w:rsidR="003A4D04" w:rsidRPr="007109D1" w:rsidRDefault="003A4D04" w:rsidP="003A4D04">
      <w:pPr>
        <w:pStyle w:val="Body"/>
      </w:pPr>
      <w:r w:rsidRPr="002A1EF7">
        <w:rPr>
          <w:rFonts w:cs="Arial"/>
        </w:rPr>
        <w:t>Meeting feedback was positive.</w:t>
      </w:r>
      <w:r w:rsidRPr="002A1EF7">
        <w:t xml:space="preserve"> </w:t>
      </w:r>
      <w:r w:rsidR="00AE1E82">
        <w:t>The meeting room location was favorable</w:t>
      </w:r>
      <w:r w:rsidRPr="002A1EF7">
        <w:t>.</w:t>
      </w:r>
    </w:p>
    <w:p w14:paraId="785AEF70" w14:textId="77777777" w:rsidR="003A4D04" w:rsidRDefault="00FC3A28" w:rsidP="003A4D04">
      <w:r>
        <w:t xml:space="preserve">ADJOURNMENT – </w:t>
      </w:r>
      <w:r w:rsidR="00AE1E82">
        <w:t>23-Feb-2017</w:t>
      </w:r>
      <w:r w:rsidR="003A4D04">
        <w:t xml:space="preserve"> – Motion made by </w:t>
      </w:r>
      <w:r w:rsidR="00AE1E82">
        <w:t>Udo</w:t>
      </w:r>
      <w:r>
        <w:t xml:space="preserve"> </w:t>
      </w:r>
      <w:r w:rsidR="00AE1E82">
        <w:t>Schuelke</w:t>
      </w:r>
      <w:r w:rsidR="003A4D04">
        <w:t xml:space="preserve"> and seconded by </w:t>
      </w:r>
      <w:r w:rsidR="00AE1E82">
        <w:t>Vern Talmadge</w:t>
      </w:r>
      <w:r w:rsidR="003A4D04">
        <w:t xml:space="preserve"> to</w:t>
      </w:r>
      <w:r w:rsidR="003A4D04" w:rsidRPr="00130CA5">
        <w:t xml:space="preserve"> </w:t>
      </w:r>
      <w:r w:rsidR="003A4D04">
        <w:t xml:space="preserve">adjourn the meeting at </w:t>
      </w:r>
      <w:r w:rsidR="007E7BE4">
        <w:t>11:45</w:t>
      </w:r>
      <w:r w:rsidR="003A4D04">
        <w:t xml:space="preserve"> </w:t>
      </w:r>
      <w:r w:rsidR="007E7BE4">
        <w:t>a</w:t>
      </w:r>
      <w:r w:rsidR="003A4D04">
        <w:t>.m. Motion passed.</w:t>
      </w:r>
    </w:p>
    <w:p w14:paraId="53A0900D" w14:textId="77777777" w:rsidR="003A4D04" w:rsidRDefault="003A4D04" w:rsidP="003A4D04">
      <w:pPr>
        <w:pStyle w:val="Footer"/>
        <w:keepNext/>
        <w:tabs>
          <w:tab w:val="left" w:pos="1980"/>
        </w:tabs>
      </w:pPr>
      <w:r>
        <w:t>Minutes Prepared by:</w:t>
      </w:r>
      <w:r>
        <w:tab/>
      </w:r>
      <w:r>
        <w:rPr>
          <w:rFonts w:cs="Arial"/>
        </w:rPr>
        <w:t>Dale Harmon</w:t>
      </w:r>
      <w:r w:rsidRPr="00845B1D">
        <w:rPr>
          <w:rFonts w:cs="Arial"/>
        </w:rPr>
        <w:t xml:space="preserve"> </w:t>
      </w:r>
      <w:hyperlink r:id="rId15" w:history="1">
        <w:r w:rsidRPr="00C941EE">
          <w:rPr>
            <w:rStyle w:val="Hyperlink"/>
            <w:rFonts w:cs="Arial"/>
          </w:rPr>
          <w:t>dharmon@cts-inc.net</w:t>
        </w:r>
      </w:hyperlink>
    </w:p>
    <w:p w14:paraId="51C32002" w14:textId="77777777" w:rsidR="003A4D04" w:rsidRDefault="003A4D04" w:rsidP="003A4D04">
      <w:pPr>
        <w:pStyle w:val="Body"/>
        <w:tabs>
          <w:tab w:val="left" w:pos="1980"/>
        </w:tabs>
        <w:ind w:left="0"/>
      </w:pPr>
      <w:r>
        <w:rPr>
          <w:rFonts w:cs="Arial"/>
        </w:rPr>
        <w:tab/>
        <w:t>Justin Rausch</w:t>
      </w:r>
      <w:r w:rsidRPr="0035546D">
        <w:rPr>
          <w:rFonts w:cs="Arial"/>
        </w:rPr>
        <w:t xml:space="preserve"> </w:t>
      </w:r>
      <w:hyperlink r:id="rId16" w:history="1">
        <w:r w:rsidRPr="00C43BE0">
          <w:rPr>
            <w:rStyle w:val="Hyperlink"/>
            <w:rFonts w:cs="Arial"/>
          </w:rPr>
          <w:t>jrausch@p-r-i.org</w:t>
        </w:r>
      </w:hyperlink>
    </w:p>
    <w:p w14:paraId="45AFCC09" w14:textId="77777777" w:rsidR="003A4D04" w:rsidRPr="003A4D04" w:rsidRDefault="003A4D04" w:rsidP="001A7F10">
      <w:r>
        <w:t xml:space="preserve">RAIL: See </w:t>
      </w:r>
      <w:hyperlink r:id="rId17" w:history="1">
        <w:r w:rsidRPr="007B67F3">
          <w:rPr>
            <w:rStyle w:val="Hyperlink"/>
          </w:rPr>
          <w:t>www.eAuditNet.com</w:t>
        </w:r>
      </w:hyperlink>
      <w:r>
        <w:t>/Public Documents/Coatings</w:t>
      </w:r>
      <w:r w:rsidR="001A7F10">
        <w:t xml:space="preserve"> </w:t>
      </w:r>
    </w:p>
    <w:p w14:paraId="043350E9" w14:textId="77777777" w:rsidR="00FA0B5E" w:rsidRDefault="00FA0B5E"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05F3C0C3" w14:textId="77777777" w:rsidTr="006813FA">
        <w:trPr>
          <w:cantSplit/>
        </w:trPr>
        <w:tc>
          <w:tcPr>
            <w:tcW w:w="9576" w:type="dxa"/>
            <w:gridSpan w:val="3"/>
            <w:shd w:val="clear" w:color="auto" w:fill="F2F2F2" w:themeFill="background1" w:themeFillShade="F2"/>
          </w:tcPr>
          <w:p w14:paraId="3FB3B3BE" w14:textId="77777777" w:rsidR="00272E48" w:rsidRDefault="00272E48" w:rsidP="003A4D04"/>
          <w:p w14:paraId="6C03433B" w14:textId="77777777" w:rsidR="00272E48" w:rsidRDefault="00272E48" w:rsidP="00272E48">
            <w:pPr>
              <w:jc w:val="center"/>
            </w:pPr>
            <w:r w:rsidRPr="00272E48">
              <w:t>***** For PRI Staff use only: ******</w:t>
            </w:r>
          </w:p>
          <w:p w14:paraId="54372C03" w14:textId="77777777" w:rsidR="00272E48" w:rsidRDefault="00272E48" w:rsidP="003A4D04"/>
          <w:p w14:paraId="63A05969" w14:textId="77777777" w:rsidR="00272E48" w:rsidRDefault="00272E48" w:rsidP="003A4D04">
            <w:r w:rsidRPr="00272E48">
              <w:t>Are procedural/form changes required based on changes/actions approved during this meeting? (select one)</w:t>
            </w:r>
          </w:p>
          <w:p w14:paraId="199307AF" w14:textId="77777777" w:rsidR="00272E48" w:rsidRDefault="00272E48" w:rsidP="003A4D04"/>
          <w:p w14:paraId="389A85B0" w14:textId="77777777"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462F1C">
                  <w:rPr>
                    <w:rFonts w:ascii="MS Gothic" w:eastAsia="MS Gothic" w:hAnsi="MS Gothic" w:hint="eastAsia"/>
                  </w:rPr>
                  <w:t>☒</w:t>
                </w:r>
              </w:sdtContent>
            </w:sdt>
          </w:p>
          <w:p w14:paraId="1B0784DC" w14:textId="77777777" w:rsidR="00272E48" w:rsidRDefault="00272E48" w:rsidP="003A4D04"/>
          <w:p w14:paraId="0A80B02F" w14:textId="77777777" w:rsidR="00272E48" w:rsidRPr="00272E48" w:rsidRDefault="00272E48" w:rsidP="003A4D04">
            <w:r w:rsidRPr="00272E48">
              <w:t>*If yes, the following information is required:</w:t>
            </w:r>
          </w:p>
        </w:tc>
      </w:tr>
      <w:tr w:rsidR="00272E48" w:rsidRPr="00272E48" w14:paraId="224CF97B" w14:textId="77777777" w:rsidTr="006813FA">
        <w:trPr>
          <w:cantSplit/>
        </w:trPr>
        <w:tc>
          <w:tcPr>
            <w:tcW w:w="3192" w:type="dxa"/>
            <w:shd w:val="clear" w:color="auto" w:fill="F2F2F2" w:themeFill="background1" w:themeFillShade="F2"/>
          </w:tcPr>
          <w:p w14:paraId="7336A977" w14:textId="77777777" w:rsidR="00272E48" w:rsidRPr="00272E48" w:rsidRDefault="00272E48" w:rsidP="003A4D04">
            <w:r w:rsidRPr="00272E48">
              <w:t>Documents requiring revision:</w:t>
            </w:r>
          </w:p>
        </w:tc>
        <w:tc>
          <w:tcPr>
            <w:tcW w:w="3192" w:type="dxa"/>
            <w:shd w:val="clear" w:color="auto" w:fill="F2F2F2" w:themeFill="background1" w:themeFillShade="F2"/>
          </w:tcPr>
          <w:p w14:paraId="13103604" w14:textId="77777777" w:rsidR="00272E48" w:rsidRPr="00272E48" w:rsidRDefault="00272E48" w:rsidP="003A4D04">
            <w:r w:rsidRPr="00272E48">
              <w:t>Who is responsible:</w:t>
            </w:r>
          </w:p>
        </w:tc>
        <w:tc>
          <w:tcPr>
            <w:tcW w:w="3192" w:type="dxa"/>
            <w:shd w:val="clear" w:color="auto" w:fill="F2F2F2" w:themeFill="background1" w:themeFillShade="F2"/>
          </w:tcPr>
          <w:p w14:paraId="6FF4EDA0" w14:textId="77777777" w:rsidR="00272E48" w:rsidRPr="00272E48" w:rsidRDefault="00272E48" w:rsidP="003A4D04">
            <w:r w:rsidRPr="00272E48">
              <w:t>Due date:</w:t>
            </w:r>
          </w:p>
        </w:tc>
      </w:tr>
      <w:tr w:rsidR="00272E48" w:rsidRPr="00272E48" w14:paraId="3064041F" w14:textId="77777777" w:rsidTr="006813FA">
        <w:trPr>
          <w:cantSplit/>
        </w:trPr>
        <w:tc>
          <w:tcPr>
            <w:tcW w:w="3192" w:type="dxa"/>
            <w:shd w:val="clear" w:color="auto" w:fill="F2F2F2" w:themeFill="background1" w:themeFillShade="F2"/>
          </w:tcPr>
          <w:p w14:paraId="7E0B9BF4" w14:textId="77777777" w:rsidR="00272E48" w:rsidRPr="00272E48" w:rsidRDefault="00272E48" w:rsidP="003A4D04"/>
        </w:tc>
        <w:tc>
          <w:tcPr>
            <w:tcW w:w="3192" w:type="dxa"/>
            <w:shd w:val="clear" w:color="auto" w:fill="F2F2F2" w:themeFill="background1" w:themeFillShade="F2"/>
          </w:tcPr>
          <w:p w14:paraId="1E6AC94B" w14:textId="77777777" w:rsidR="00272E48" w:rsidRPr="00272E48" w:rsidRDefault="00272E48" w:rsidP="003A4D04"/>
        </w:tc>
        <w:tc>
          <w:tcPr>
            <w:tcW w:w="3192" w:type="dxa"/>
            <w:shd w:val="clear" w:color="auto" w:fill="F2F2F2" w:themeFill="background1" w:themeFillShade="F2"/>
          </w:tcPr>
          <w:p w14:paraId="01B8FA39" w14:textId="77777777" w:rsidR="00272E48" w:rsidRPr="00272E48" w:rsidRDefault="00272E48" w:rsidP="003A4D04"/>
        </w:tc>
      </w:tr>
      <w:tr w:rsidR="00272E48" w:rsidRPr="00272E48" w14:paraId="7D31F817" w14:textId="77777777" w:rsidTr="006813FA">
        <w:trPr>
          <w:cantSplit/>
        </w:trPr>
        <w:tc>
          <w:tcPr>
            <w:tcW w:w="3192" w:type="dxa"/>
            <w:shd w:val="clear" w:color="auto" w:fill="F2F2F2" w:themeFill="background1" w:themeFillShade="F2"/>
          </w:tcPr>
          <w:p w14:paraId="07FEE193" w14:textId="77777777" w:rsidR="00272E48" w:rsidRPr="00272E48" w:rsidRDefault="00272E48" w:rsidP="003A4D04"/>
        </w:tc>
        <w:tc>
          <w:tcPr>
            <w:tcW w:w="3192" w:type="dxa"/>
            <w:shd w:val="clear" w:color="auto" w:fill="F2F2F2" w:themeFill="background1" w:themeFillShade="F2"/>
          </w:tcPr>
          <w:p w14:paraId="58207362" w14:textId="77777777" w:rsidR="00272E48" w:rsidRPr="00272E48" w:rsidRDefault="00272E48" w:rsidP="003A4D04"/>
        </w:tc>
        <w:tc>
          <w:tcPr>
            <w:tcW w:w="3192" w:type="dxa"/>
            <w:shd w:val="clear" w:color="auto" w:fill="F2F2F2" w:themeFill="background1" w:themeFillShade="F2"/>
          </w:tcPr>
          <w:p w14:paraId="6FF74C2B" w14:textId="77777777" w:rsidR="00272E48" w:rsidRPr="00272E48" w:rsidRDefault="00272E48" w:rsidP="003A4D04"/>
        </w:tc>
      </w:tr>
    </w:tbl>
    <w:p w14:paraId="01078EE8" w14:textId="77777777" w:rsidR="00FA0B5E" w:rsidRDefault="00FA0B5E" w:rsidP="00FA0B5E"/>
    <w:sectPr w:rsidR="00FA0B5E" w:rsidSect="00866C8D">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078E" w14:textId="77777777" w:rsidR="00272FFC" w:rsidRDefault="00272FFC" w:rsidP="00FC3F1E">
      <w:pPr>
        <w:spacing w:after="0"/>
      </w:pPr>
      <w:r>
        <w:separator/>
      </w:r>
    </w:p>
  </w:endnote>
  <w:endnote w:type="continuationSeparator" w:id="0">
    <w:p w14:paraId="48D47FEC" w14:textId="77777777" w:rsidR="00272FFC" w:rsidRDefault="00272FFC"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6624" w14:textId="77777777" w:rsidR="00A21091" w:rsidRDefault="00A2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8D73" w14:textId="77777777" w:rsidR="00A21091" w:rsidRDefault="00A21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2F83" w14:textId="77777777" w:rsidR="00A21091" w:rsidRDefault="00A2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D5E2" w14:textId="77777777" w:rsidR="00272FFC" w:rsidRDefault="00272FFC" w:rsidP="00FC3F1E">
      <w:pPr>
        <w:spacing w:after="0"/>
      </w:pPr>
      <w:r>
        <w:separator/>
      </w:r>
    </w:p>
  </w:footnote>
  <w:footnote w:type="continuationSeparator" w:id="0">
    <w:p w14:paraId="2084E138" w14:textId="77777777" w:rsidR="00272FFC" w:rsidRDefault="00272FFC"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08EA" w14:textId="77777777" w:rsidR="004F7856" w:rsidRDefault="00A21091">
    <w:pPr>
      <w:pStyle w:val="Header"/>
    </w:pPr>
    <w:r>
      <w:rPr>
        <w:noProof/>
      </w:rPr>
      <w:pict w14:anchorId="219D4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06628"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9918" w14:textId="77777777" w:rsidR="004F7856" w:rsidRDefault="004F7856">
    <w:pPr>
      <w:pStyle w:val="Header"/>
    </w:pPr>
    <w:r>
      <w:rPr>
        <w:noProof/>
      </w:rPr>
      <w:drawing>
        <wp:anchor distT="0" distB="0" distL="114300" distR="114300" simplePos="0" relativeHeight="251665408" behindDoc="0" locked="0" layoutInCell="1" allowOverlap="1" wp14:anchorId="28F557CA" wp14:editId="6735AE4E">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A21091">
      <w:rPr>
        <w:noProof/>
      </w:rPr>
      <w:pict w14:anchorId="116CE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06629"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COATINGS</w:t>
    </w:r>
  </w:p>
  <w:p w14:paraId="77F1F725" w14:textId="77777777" w:rsidR="004F7856" w:rsidRDefault="004F7856">
    <w:pPr>
      <w:pStyle w:val="Header"/>
    </w:pPr>
    <w:r>
      <w:t>FEBRUARY 2017</w:t>
    </w:r>
  </w:p>
  <w:p w14:paraId="18A346F2" w14:textId="790DF845" w:rsidR="004F7856" w:rsidRDefault="004F7856">
    <w:pPr>
      <w:pStyle w:val="Header"/>
    </w:pPr>
    <w:r>
      <w:t>CONFIRMED</w:t>
    </w:r>
  </w:p>
  <w:p w14:paraId="4AE5792C" w14:textId="77777777" w:rsidR="004F7856" w:rsidRDefault="004F7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2F86" w14:textId="77777777" w:rsidR="004F7856" w:rsidRDefault="00A21091">
    <w:pPr>
      <w:pStyle w:val="Header"/>
    </w:pPr>
    <w:r>
      <w:rPr>
        <w:noProof/>
      </w:rPr>
      <w:pict w14:anchorId="194B1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06627"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21222"/>
    <w:rsid w:val="00033416"/>
    <w:rsid w:val="00045D54"/>
    <w:rsid w:val="0009480B"/>
    <w:rsid w:val="000A4DCB"/>
    <w:rsid w:val="000E5BBB"/>
    <w:rsid w:val="000E6AC7"/>
    <w:rsid w:val="00111291"/>
    <w:rsid w:val="00111C34"/>
    <w:rsid w:val="00114717"/>
    <w:rsid w:val="0012238B"/>
    <w:rsid w:val="001377A6"/>
    <w:rsid w:val="00141014"/>
    <w:rsid w:val="001662EA"/>
    <w:rsid w:val="00187EB5"/>
    <w:rsid w:val="001A1215"/>
    <w:rsid w:val="001A7F10"/>
    <w:rsid w:val="001D6454"/>
    <w:rsid w:val="001E5019"/>
    <w:rsid w:val="002266B7"/>
    <w:rsid w:val="00231248"/>
    <w:rsid w:val="00244E54"/>
    <w:rsid w:val="00251888"/>
    <w:rsid w:val="002529C7"/>
    <w:rsid w:val="0027290E"/>
    <w:rsid w:val="00272E48"/>
    <w:rsid w:val="00272FFC"/>
    <w:rsid w:val="00273B11"/>
    <w:rsid w:val="00284747"/>
    <w:rsid w:val="002A0678"/>
    <w:rsid w:val="002C1E44"/>
    <w:rsid w:val="002E3F08"/>
    <w:rsid w:val="002F5147"/>
    <w:rsid w:val="0036647B"/>
    <w:rsid w:val="0037773F"/>
    <w:rsid w:val="003A1D5B"/>
    <w:rsid w:val="003A4D04"/>
    <w:rsid w:val="003B5FCD"/>
    <w:rsid w:val="003C286C"/>
    <w:rsid w:val="003F711A"/>
    <w:rsid w:val="00417309"/>
    <w:rsid w:val="00422BB3"/>
    <w:rsid w:val="00453D98"/>
    <w:rsid w:val="00460006"/>
    <w:rsid w:val="00462F1C"/>
    <w:rsid w:val="004655F0"/>
    <w:rsid w:val="004874EE"/>
    <w:rsid w:val="00491963"/>
    <w:rsid w:val="004A0807"/>
    <w:rsid w:val="004D2E91"/>
    <w:rsid w:val="004D675F"/>
    <w:rsid w:val="004D72BA"/>
    <w:rsid w:val="004F1E64"/>
    <w:rsid w:val="004F557C"/>
    <w:rsid w:val="004F7856"/>
    <w:rsid w:val="00506EE2"/>
    <w:rsid w:val="00516CBC"/>
    <w:rsid w:val="00524576"/>
    <w:rsid w:val="0053129E"/>
    <w:rsid w:val="00534630"/>
    <w:rsid w:val="00543532"/>
    <w:rsid w:val="00553539"/>
    <w:rsid w:val="005C2228"/>
    <w:rsid w:val="005C344E"/>
    <w:rsid w:val="005E1CBC"/>
    <w:rsid w:val="005E5CE3"/>
    <w:rsid w:val="005E6A86"/>
    <w:rsid w:val="00605123"/>
    <w:rsid w:val="006227ED"/>
    <w:rsid w:val="00644E36"/>
    <w:rsid w:val="00670E61"/>
    <w:rsid w:val="006735C3"/>
    <w:rsid w:val="006813FA"/>
    <w:rsid w:val="00682641"/>
    <w:rsid w:val="00693DCF"/>
    <w:rsid w:val="00697692"/>
    <w:rsid w:val="006B60DB"/>
    <w:rsid w:val="00704CFD"/>
    <w:rsid w:val="00713609"/>
    <w:rsid w:val="00717E47"/>
    <w:rsid w:val="00727276"/>
    <w:rsid w:val="0072739C"/>
    <w:rsid w:val="007612B1"/>
    <w:rsid w:val="00781BA7"/>
    <w:rsid w:val="007A7295"/>
    <w:rsid w:val="007B73A3"/>
    <w:rsid w:val="007C3388"/>
    <w:rsid w:val="007D7046"/>
    <w:rsid w:val="007E4D27"/>
    <w:rsid w:val="007E7BE4"/>
    <w:rsid w:val="007F7E08"/>
    <w:rsid w:val="00810102"/>
    <w:rsid w:val="00834F32"/>
    <w:rsid w:val="00844706"/>
    <w:rsid w:val="00846BAD"/>
    <w:rsid w:val="00847FDE"/>
    <w:rsid w:val="00854479"/>
    <w:rsid w:val="00861E0D"/>
    <w:rsid w:val="0086207C"/>
    <w:rsid w:val="00866C8D"/>
    <w:rsid w:val="0088435F"/>
    <w:rsid w:val="008F4D73"/>
    <w:rsid w:val="00933419"/>
    <w:rsid w:val="009348B1"/>
    <w:rsid w:val="00940FCC"/>
    <w:rsid w:val="00981819"/>
    <w:rsid w:val="00982817"/>
    <w:rsid w:val="00992272"/>
    <w:rsid w:val="009A765F"/>
    <w:rsid w:val="009E70EB"/>
    <w:rsid w:val="009F3992"/>
    <w:rsid w:val="009F7595"/>
    <w:rsid w:val="00A01EEA"/>
    <w:rsid w:val="00A21091"/>
    <w:rsid w:val="00A33A57"/>
    <w:rsid w:val="00A345F8"/>
    <w:rsid w:val="00A4482A"/>
    <w:rsid w:val="00A76407"/>
    <w:rsid w:val="00A83CF8"/>
    <w:rsid w:val="00A900F6"/>
    <w:rsid w:val="00AA02E6"/>
    <w:rsid w:val="00AC7ED9"/>
    <w:rsid w:val="00AD2E45"/>
    <w:rsid w:val="00AE1E82"/>
    <w:rsid w:val="00AF4446"/>
    <w:rsid w:val="00B03636"/>
    <w:rsid w:val="00B40532"/>
    <w:rsid w:val="00B55233"/>
    <w:rsid w:val="00B92B75"/>
    <w:rsid w:val="00BE0960"/>
    <w:rsid w:val="00BE288D"/>
    <w:rsid w:val="00BE40B8"/>
    <w:rsid w:val="00BE709F"/>
    <w:rsid w:val="00C10ADD"/>
    <w:rsid w:val="00C25ABB"/>
    <w:rsid w:val="00C32A33"/>
    <w:rsid w:val="00C3342C"/>
    <w:rsid w:val="00C42A87"/>
    <w:rsid w:val="00C50E53"/>
    <w:rsid w:val="00C576C6"/>
    <w:rsid w:val="00C61D88"/>
    <w:rsid w:val="00C7478F"/>
    <w:rsid w:val="00C96A75"/>
    <w:rsid w:val="00CA1C63"/>
    <w:rsid w:val="00CB151B"/>
    <w:rsid w:val="00CB496C"/>
    <w:rsid w:val="00CC1EBE"/>
    <w:rsid w:val="00CC4718"/>
    <w:rsid w:val="00CD4A39"/>
    <w:rsid w:val="00CF6A99"/>
    <w:rsid w:val="00D44200"/>
    <w:rsid w:val="00D50751"/>
    <w:rsid w:val="00DA01BE"/>
    <w:rsid w:val="00DB12A8"/>
    <w:rsid w:val="00DB43EF"/>
    <w:rsid w:val="00DF00D7"/>
    <w:rsid w:val="00DF6960"/>
    <w:rsid w:val="00E03A30"/>
    <w:rsid w:val="00E03FEB"/>
    <w:rsid w:val="00E30BF1"/>
    <w:rsid w:val="00E37190"/>
    <w:rsid w:val="00E51455"/>
    <w:rsid w:val="00E6246D"/>
    <w:rsid w:val="00EE025B"/>
    <w:rsid w:val="00EE7E69"/>
    <w:rsid w:val="00F0049A"/>
    <w:rsid w:val="00F0444E"/>
    <w:rsid w:val="00F44C9E"/>
    <w:rsid w:val="00F4583F"/>
    <w:rsid w:val="00F56500"/>
    <w:rsid w:val="00F76453"/>
    <w:rsid w:val="00F94CC5"/>
    <w:rsid w:val="00FA0B5E"/>
    <w:rsid w:val="00FB06E8"/>
    <w:rsid w:val="00FC3A28"/>
    <w:rsid w:val="00FC3F1E"/>
    <w:rsid w:val="00FD5471"/>
    <w:rsid w:val="00FF3450"/>
    <w:rsid w:val="00FF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D88291"/>
  <w15:docId w15:val="{8510BA7C-4DBD-4C12-A3EC-6C981DB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character" w:styleId="CommentReference">
    <w:name w:val="annotation reference"/>
    <w:basedOn w:val="DefaultParagraphFont"/>
    <w:uiPriority w:val="99"/>
    <w:semiHidden/>
    <w:unhideWhenUsed/>
    <w:rsid w:val="000E6AC7"/>
    <w:rPr>
      <w:sz w:val="16"/>
      <w:szCs w:val="16"/>
    </w:rPr>
  </w:style>
  <w:style w:type="paragraph" w:styleId="CommentText">
    <w:name w:val="annotation text"/>
    <w:basedOn w:val="Normal"/>
    <w:link w:val="CommentTextChar"/>
    <w:uiPriority w:val="99"/>
    <w:semiHidden/>
    <w:unhideWhenUsed/>
    <w:rsid w:val="000E6AC7"/>
    <w:rPr>
      <w:szCs w:val="20"/>
    </w:rPr>
  </w:style>
  <w:style w:type="character" w:customStyle="1" w:styleId="CommentTextChar">
    <w:name w:val="Comment Text Char"/>
    <w:basedOn w:val="DefaultParagraphFont"/>
    <w:link w:val="CommentText"/>
    <w:uiPriority w:val="99"/>
    <w:semiHidden/>
    <w:rsid w:val="000E6A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AC7"/>
    <w:rPr>
      <w:b/>
      <w:bCs/>
    </w:rPr>
  </w:style>
  <w:style w:type="character" w:customStyle="1" w:styleId="CommentSubjectChar">
    <w:name w:val="Comment Subject Char"/>
    <w:basedOn w:val="CommentTextChar"/>
    <w:link w:val="CommentSubject"/>
    <w:uiPriority w:val="99"/>
    <w:semiHidden/>
    <w:rsid w:val="000E6AC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r-i.org" TargetMode="External"/><Relationship Id="rId17" Type="http://schemas.openxmlformats.org/officeDocument/2006/relationships/hyperlink" Target="http://www.eAuditNe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rausch@p-r-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harmon@cts-inc.ne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uditNet.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44CB44-C53A-450D-B0EE-522C491A001A}">
  <ds:schemaRef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4.xml><?xml version="1.0" encoding="utf-8"?>
<ds:datastoreItem xmlns:ds="http://schemas.openxmlformats.org/officeDocument/2006/customXml" ds:itemID="{5F8B5D3D-C0E1-4439-A879-28B31E69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Brittany Mcsorley</cp:lastModifiedBy>
  <cp:revision>3</cp:revision>
  <dcterms:created xsi:type="dcterms:W3CDTF">2017-06-20T19:21:00Z</dcterms:created>
  <dcterms:modified xsi:type="dcterms:W3CDTF">2017-06-20T19:21:00Z</dcterms:modified>
</cp:coreProperties>
</file>