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B1F4" w14:textId="14606504" w:rsidR="00FA0B5E" w:rsidRPr="00FC3F1E" w:rsidRDefault="00FA0B5E" w:rsidP="00FC3F1E">
      <w:pPr>
        <w:spacing w:after="0"/>
        <w:jc w:val="center"/>
        <w:rPr>
          <w:b/>
        </w:rPr>
      </w:pPr>
      <w:bookmarkStart w:id="0" w:name="_GoBack"/>
      <w:bookmarkEnd w:id="0"/>
      <w:r w:rsidRPr="00FC3F1E">
        <w:rPr>
          <w:b/>
        </w:rPr>
        <w:t>CONFIRMED MINUTES</w:t>
      </w:r>
    </w:p>
    <w:p w14:paraId="02BDCC9D" w14:textId="77777777" w:rsidR="00FA0B5E" w:rsidRPr="00FC3F1E" w:rsidRDefault="00CD47ED" w:rsidP="00FC3F1E">
      <w:pPr>
        <w:spacing w:after="0"/>
        <w:jc w:val="center"/>
        <w:rPr>
          <w:b/>
        </w:rPr>
      </w:pPr>
      <w:r>
        <w:rPr>
          <w:b/>
        </w:rPr>
        <w:t>FEBRUARY 20 – 23, 2017</w:t>
      </w:r>
    </w:p>
    <w:p w14:paraId="465F56E3" w14:textId="77777777" w:rsidR="00CD47ED" w:rsidRDefault="00CD47ED" w:rsidP="00FA0B5E">
      <w:pPr>
        <w:rPr>
          <w:b/>
        </w:rPr>
      </w:pPr>
      <w:r>
        <w:rPr>
          <w:b/>
        </w:rPr>
        <w:t xml:space="preserve">                                                               </w:t>
      </w:r>
      <w:r w:rsidRPr="00CD47ED">
        <w:rPr>
          <w:b/>
        </w:rPr>
        <w:t>NEW ORLEANS, LA, USA</w:t>
      </w:r>
      <w:r w:rsidRPr="00CD47ED">
        <w:rPr>
          <w:b/>
        </w:rPr>
        <w:tab/>
      </w:r>
      <w:r w:rsidRPr="00CD47ED" w:rsidDel="00CD47ED">
        <w:rPr>
          <w:b/>
        </w:rPr>
        <w:t xml:space="preserve"> </w:t>
      </w:r>
    </w:p>
    <w:p w14:paraId="5295109E"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3BAB5930" w14:textId="77777777" w:rsidR="00FA0B5E" w:rsidRPr="00FC3F1E" w:rsidRDefault="00D745FB" w:rsidP="00FA0B5E">
      <w:pPr>
        <w:rPr>
          <w:b/>
          <w:u w:val="single"/>
        </w:rPr>
      </w:pPr>
      <w:r>
        <w:rPr>
          <w:b/>
          <w:u w:val="single"/>
        </w:rPr>
        <w:t>WEDNESDAY, 22-FEB-2017</w:t>
      </w:r>
      <w:r w:rsidR="00FA0B5E" w:rsidRPr="00FC3F1E">
        <w:rPr>
          <w:b/>
          <w:u w:val="single"/>
        </w:rPr>
        <w:t xml:space="preserve"> to </w:t>
      </w:r>
      <w:r>
        <w:rPr>
          <w:b/>
          <w:u w:val="single"/>
        </w:rPr>
        <w:t>THURSDAY, 23-FEB-2017</w:t>
      </w:r>
      <w:r w:rsidR="00FA0B5E" w:rsidRPr="00FC3F1E">
        <w:rPr>
          <w:b/>
          <w:u w:val="single"/>
        </w:rPr>
        <w:t xml:space="preserve"> </w:t>
      </w:r>
    </w:p>
    <w:p w14:paraId="37894D78" w14:textId="77777777" w:rsidR="00FA0B5E" w:rsidRDefault="00FA0B5E" w:rsidP="00FA0B5E">
      <w:pPr>
        <w:pStyle w:val="Heading1"/>
      </w:pPr>
      <w:r>
        <w:t>OPENING COMMENTS</w:t>
      </w:r>
    </w:p>
    <w:p w14:paraId="296DD5ED" w14:textId="77777777" w:rsidR="00FA0B5E" w:rsidRDefault="00FA0B5E" w:rsidP="00FA0B5E">
      <w:pPr>
        <w:pStyle w:val="Heading2"/>
      </w:pPr>
      <w:r>
        <w:t>Call to Order / Quorum Check</w:t>
      </w:r>
    </w:p>
    <w:p w14:paraId="75B4BD0F" w14:textId="77777777" w:rsidR="00FA0B5E" w:rsidRDefault="00FA0B5E" w:rsidP="00FA0B5E">
      <w:pPr>
        <w:pStyle w:val="Body"/>
      </w:pPr>
      <w:r>
        <w:t xml:space="preserve">The </w:t>
      </w:r>
      <w:r w:rsidR="00D0193E">
        <w:t>Aerospace Quality System Task Group (AQS)</w:t>
      </w:r>
      <w:r w:rsidR="00021465">
        <w:t xml:space="preserve"> was called to order at 8:00</w:t>
      </w:r>
      <w:r>
        <w:t xml:space="preserve"> a.m., </w:t>
      </w:r>
      <w:r w:rsidR="00D0193E">
        <w:t>22-Feb-2017.</w:t>
      </w:r>
      <w:r w:rsidR="005D20A1">
        <w:t xml:space="preserve">  All participants were reviewed to ensure a proper badge was worn and displayed.</w:t>
      </w:r>
    </w:p>
    <w:p w14:paraId="31C5F218" w14:textId="77777777" w:rsidR="00FA0B5E" w:rsidRDefault="00FA0B5E" w:rsidP="00FA0B5E">
      <w:pPr>
        <w:pStyle w:val="Body"/>
      </w:pPr>
      <w:r>
        <w:t>It was verified that only SUBSCRIBER MEMBERS were in attendance during the closed portion of the meeting.</w:t>
      </w:r>
    </w:p>
    <w:p w14:paraId="11E5501F" w14:textId="77777777" w:rsidR="005B213D" w:rsidRDefault="005B213D" w:rsidP="005B213D">
      <w:pPr>
        <w:pStyle w:val="Body"/>
      </w:pPr>
      <w:r>
        <w:t>Safety instructions and Conflict of Interest/Code of Ethics topics were covered including the video.</w:t>
      </w:r>
    </w:p>
    <w:p w14:paraId="253F8117" w14:textId="44F20641" w:rsidR="00FA0B5E" w:rsidRDefault="00FA0B5E" w:rsidP="00FA0B5E">
      <w:pPr>
        <w:pStyle w:val="Body"/>
      </w:pPr>
      <w:r>
        <w:t>A quorum was established with the followin</w:t>
      </w:r>
      <w:r w:rsidR="005B213D">
        <w:t>g representatives in attendance.</w:t>
      </w:r>
    </w:p>
    <w:p w14:paraId="13E6B3EC" w14:textId="77777777" w:rsidR="00A61353" w:rsidRDefault="00A61353" w:rsidP="00FA0B5E">
      <w:pPr>
        <w:pStyle w:val="Body"/>
      </w:pPr>
    </w:p>
    <w:p w14:paraId="1048224E"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67DC9FEB" w14:textId="77777777" w:rsidTr="00680232">
        <w:tc>
          <w:tcPr>
            <w:tcW w:w="295" w:type="dxa"/>
          </w:tcPr>
          <w:p w14:paraId="3A58C0BC" w14:textId="77777777" w:rsidR="00FA0B5E" w:rsidRPr="00FA0B5E" w:rsidRDefault="00FA0B5E" w:rsidP="00FA0B5E">
            <w:pPr>
              <w:pStyle w:val="Names"/>
            </w:pPr>
          </w:p>
        </w:tc>
        <w:tc>
          <w:tcPr>
            <w:tcW w:w="1998" w:type="dxa"/>
          </w:tcPr>
          <w:p w14:paraId="79E6C130" w14:textId="77777777" w:rsidR="00FA0B5E" w:rsidRPr="00FA0B5E" w:rsidRDefault="00FA0B5E" w:rsidP="00FA0B5E">
            <w:pPr>
              <w:pStyle w:val="Names"/>
            </w:pPr>
            <w:r w:rsidRPr="00FA0B5E">
              <w:t>NAME</w:t>
            </w:r>
          </w:p>
        </w:tc>
        <w:tc>
          <w:tcPr>
            <w:tcW w:w="1980" w:type="dxa"/>
          </w:tcPr>
          <w:p w14:paraId="248E46ED" w14:textId="77777777" w:rsidR="00FA0B5E" w:rsidRPr="00FA0B5E" w:rsidRDefault="00FA0B5E" w:rsidP="00FA0B5E">
            <w:pPr>
              <w:pStyle w:val="Names"/>
            </w:pPr>
          </w:p>
        </w:tc>
        <w:tc>
          <w:tcPr>
            <w:tcW w:w="3870" w:type="dxa"/>
          </w:tcPr>
          <w:p w14:paraId="0143A893" w14:textId="77777777" w:rsidR="00FA0B5E" w:rsidRPr="00FA0B5E" w:rsidRDefault="00FA0B5E" w:rsidP="00FA0B5E">
            <w:pPr>
              <w:pStyle w:val="Names"/>
            </w:pPr>
            <w:r w:rsidRPr="00FA0B5E">
              <w:t>COMPANY NAME</w:t>
            </w:r>
          </w:p>
        </w:tc>
        <w:tc>
          <w:tcPr>
            <w:tcW w:w="2160" w:type="dxa"/>
          </w:tcPr>
          <w:p w14:paraId="1BA6C4E7" w14:textId="77777777" w:rsidR="00FA0B5E" w:rsidRPr="00FA0B5E" w:rsidRDefault="00FA0B5E" w:rsidP="00FA0B5E">
            <w:pPr>
              <w:pStyle w:val="Names"/>
            </w:pPr>
          </w:p>
        </w:tc>
      </w:tr>
      <w:tr w:rsidR="00E51455" w:rsidRPr="00FA0B5E" w14:paraId="5EE99F3E" w14:textId="77777777" w:rsidTr="00680232">
        <w:tc>
          <w:tcPr>
            <w:tcW w:w="295" w:type="dxa"/>
          </w:tcPr>
          <w:p w14:paraId="15EFE316" w14:textId="77777777" w:rsidR="00FA0B5E" w:rsidRPr="00FA0B5E" w:rsidRDefault="00FA0B5E" w:rsidP="00FA0B5E">
            <w:pPr>
              <w:pStyle w:val="Names"/>
            </w:pPr>
          </w:p>
        </w:tc>
        <w:tc>
          <w:tcPr>
            <w:tcW w:w="1998" w:type="dxa"/>
          </w:tcPr>
          <w:p w14:paraId="2EE78395" w14:textId="77777777" w:rsidR="00FA0B5E" w:rsidRPr="00FA0B5E" w:rsidRDefault="00FA0B5E" w:rsidP="00FA0B5E">
            <w:pPr>
              <w:pStyle w:val="Names"/>
            </w:pPr>
          </w:p>
        </w:tc>
        <w:tc>
          <w:tcPr>
            <w:tcW w:w="1980" w:type="dxa"/>
          </w:tcPr>
          <w:p w14:paraId="02AFB4A3" w14:textId="77777777" w:rsidR="00FA0B5E" w:rsidRPr="00FA0B5E" w:rsidRDefault="00FA0B5E" w:rsidP="00FA0B5E">
            <w:pPr>
              <w:pStyle w:val="Names"/>
            </w:pPr>
          </w:p>
        </w:tc>
        <w:tc>
          <w:tcPr>
            <w:tcW w:w="3870" w:type="dxa"/>
          </w:tcPr>
          <w:p w14:paraId="29B18BF6" w14:textId="77777777" w:rsidR="00FA0B5E" w:rsidRPr="00FA0B5E" w:rsidRDefault="00FA0B5E" w:rsidP="00FA0B5E">
            <w:pPr>
              <w:pStyle w:val="Names"/>
            </w:pPr>
          </w:p>
        </w:tc>
        <w:tc>
          <w:tcPr>
            <w:tcW w:w="2160" w:type="dxa"/>
          </w:tcPr>
          <w:p w14:paraId="1B531F6F" w14:textId="77777777" w:rsidR="00FA0B5E" w:rsidRPr="00FA0B5E" w:rsidRDefault="00FA0B5E" w:rsidP="00FA0B5E">
            <w:pPr>
              <w:pStyle w:val="Names"/>
            </w:pPr>
          </w:p>
        </w:tc>
      </w:tr>
      <w:tr w:rsidR="00680232" w:rsidRPr="00680232" w14:paraId="5443118C" w14:textId="77777777" w:rsidTr="00680232">
        <w:tblPrEx>
          <w:tblCellMar>
            <w:left w:w="108" w:type="dxa"/>
            <w:right w:w="108" w:type="dxa"/>
          </w:tblCellMar>
        </w:tblPrEx>
        <w:trPr>
          <w:trHeight w:val="255"/>
        </w:trPr>
        <w:tc>
          <w:tcPr>
            <w:tcW w:w="295" w:type="dxa"/>
            <w:noWrap/>
            <w:hideMark/>
          </w:tcPr>
          <w:p w14:paraId="438EF706"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5EA7716D" w14:textId="77777777" w:rsidR="00680232" w:rsidRPr="00680232" w:rsidRDefault="00680232" w:rsidP="00680232">
            <w:pPr>
              <w:rPr>
                <w:rFonts w:eastAsia="Times New Roman" w:cs="Arial"/>
                <w:szCs w:val="20"/>
              </w:rPr>
            </w:pPr>
            <w:r w:rsidRPr="00680232">
              <w:rPr>
                <w:rFonts w:eastAsia="Times New Roman" w:cs="Arial"/>
                <w:szCs w:val="20"/>
              </w:rPr>
              <w:t>Robin</w:t>
            </w:r>
          </w:p>
        </w:tc>
        <w:tc>
          <w:tcPr>
            <w:tcW w:w="1980" w:type="dxa"/>
            <w:noWrap/>
            <w:hideMark/>
          </w:tcPr>
          <w:p w14:paraId="58B7510A" w14:textId="77777777" w:rsidR="00680232" w:rsidRPr="00680232" w:rsidRDefault="00680232" w:rsidP="00680232">
            <w:pPr>
              <w:rPr>
                <w:rFonts w:eastAsia="Times New Roman" w:cs="Arial"/>
                <w:szCs w:val="20"/>
              </w:rPr>
            </w:pPr>
            <w:r w:rsidRPr="00680232">
              <w:rPr>
                <w:rFonts w:eastAsia="Times New Roman" w:cs="Arial"/>
                <w:szCs w:val="20"/>
              </w:rPr>
              <w:t>Borrelli</w:t>
            </w:r>
          </w:p>
        </w:tc>
        <w:tc>
          <w:tcPr>
            <w:tcW w:w="3870" w:type="dxa"/>
            <w:noWrap/>
            <w:hideMark/>
          </w:tcPr>
          <w:p w14:paraId="0BACE2CC" w14:textId="77777777" w:rsidR="00680232" w:rsidRPr="00680232" w:rsidRDefault="00680232" w:rsidP="00680232">
            <w:pPr>
              <w:rPr>
                <w:rFonts w:eastAsia="Times New Roman" w:cs="Arial"/>
                <w:szCs w:val="20"/>
              </w:rPr>
            </w:pPr>
            <w:r w:rsidRPr="00680232">
              <w:rPr>
                <w:rFonts w:eastAsia="Times New Roman" w:cs="Arial"/>
                <w:szCs w:val="20"/>
              </w:rPr>
              <w:t>The Boeing Company</w:t>
            </w:r>
          </w:p>
        </w:tc>
        <w:tc>
          <w:tcPr>
            <w:tcW w:w="2160" w:type="dxa"/>
            <w:noWrap/>
          </w:tcPr>
          <w:p w14:paraId="028570BF" w14:textId="77777777" w:rsidR="00680232" w:rsidRPr="00680232" w:rsidRDefault="00680232" w:rsidP="00680232">
            <w:pPr>
              <w:jc w:val="center"/>
              <w:rPr>
                <w:rFonts w:eastAsia="Times New Roman" w:cs="Arial"/>
                <w:szCs w:val="20"/>
              </w:rPr>
            </w:pPr>
          </w:p>
        </w:tc>
      </w:tr>
      <w:tr w:rsidR="00680232" w:rsidRPr="00680232" w14:paraId="20484463" w14:textId="77777777" w:rsidTr="00680232">
        <w:tblPrEx>
          <w:tblCellMar>
            <w:left w:w="108" w:type="dxa"/>
            <w:right w:w="108" w:type="dxa"/>
          </w:tblCellMar>
        </w:tblPrEx>
        <w:trPr>
          <w:trHeight w:val="255"/>
        </w:trPr>
        <w:tc>
          <w:tcPr>
            <w:tcW w:w="295" w:type="dxa"/>
            <w:noWrap/>
            <w:hideMark/>
          </w:tcPr>
          <w:p w14:paraId="2C05109D"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595B1EF7" w14:textId="77777777" w:rsidR="00680232" w:rsidRPr="00680232" w:rsidRDefault="00680232" w:rsidP="00680232">
            <w:pPr>
              <w:rPr>
                <w:rFonts w:eastAsia="Times New Roman" w:cs="Arial"/>
                <w:szCs w:val="20"/>
              </w:rPr>
            </w:pPr>
            <w:r w:rsidRPr="00680232">
              <w:rPr>
                <w:rFonts w:eastAsia="Times New Roman" w:cs="Arial"/>
                <w:szCs w:val="20"/>
              </w:rPr>
              <w:t>Saeed</w:t>
            </w:r>
          </w:p>
        </w:tc>
        <w:tc>
          <w:tcPr>
            <w:tcW w:w="1980" w:type="dxa"/>
            <w:noWrap/>
            <w:hideMark/>
          </w:tcPr>
          <w:p w14:paraId="17BFD1F5" w14:textId="77777777" w:rsidR="00680232" w:rsidRPr="00680232" w:rsidRDefault="00680232" w:rsidP="00680232">
            <w:pPr>
              <w:rPr>
                <w:rFonts w:eastAsia="Times New Roman" w:cs="Arial"/>
                <w:szCs w:val="20"/>
              </w:rPr>
            </w:pPr>
            <w:r w:rsidRPr="00680232">
              <w:rPr>
                <w:rFonts w:eastAsia="Times New Roman" w:cs="Arial"/>
                <w:szCs w:val="20"/>
              </w:rPr>
              <w:t>Cheema</w:t>
            </w:r>
          </w:p>
        </w:tc>
        <w:tc>
          <w:tcPr>
            <w:tcW w:w="3870" w:type="dxa"/>
            <w:noWrap/>
            <w:hideMark/>
          </w:tcPr>
          <w:p w14:paraId="34E670E2" w14:textId="77777777" w:rsidR="00680232" w:rsidRPr="00680232" w:rsidRDefault="00680232" w:rsidP="00680232">
            <w:pPr>
              <w:rPr>
                <w:rFonts w:eastAsia="Times New Roman" w:cs="Arial"/>
                <w:szCs w:val="20"/>
              </w:rPr>
            </w:pPr>
            <w:r w:rsidRPr="00680232">
              <w:rPr>
                <w:rFonts w:eastAsia="Times New Roman" w:cs="Arial"/>
                <w:szCs w:val="20"/>
              </w:rPr>
              <w:t>Cessna Aircraft Company</w:t>
            </w:r>
          </w:p>
        </w:tc>
        <w:tc>
          <w:tcPr>
            <w:tcW w:w="2160" w:type="dxa"/>
            <w:noWrap/>
          </w:tcPr>
          <w:p w14:paraId="07854F85" w14:textId="77777777" w:rsidR="00680232" w:rsidRPr="00680232" w:rsidRDefault="00680232" w:rsidP="00680232">
            <w:pPr>
              <w:jc w:val="center"/>
              <w:rPr>
                <w:rFonts w:eastAsia="Times New Roman" w:cs="Arial"/>
                <w:szCs w:val="20"/>
              </w:rPr>
            </w:pPr>
          </w:p>
        </w:tc>
      </w:tr>
      <w:tr w:rsidR="00680232" w:rsidRPr="00680232" w14:paraId="0CC54823" w14:textId="77777777" w:rsidTr="00680232">
        <w:tblPrEx>
          <w:tblCellMar>
            <w:left w:w="108" w:type="dxa"/>
            <w:right w:w="108" w:type="dxa"/>
          </w:tblCellMar>
        </w:tblPrEx>
        <w:trPr>
          <w:trHeight w:val="255"/>
        </w:trPr>
        <w:tc>
          <w:tcPr>
            <w:tcW w:w="295" w:type="dxa"/>
            <w:noWrap/>
            <w:hideMark/>
          </w:tcPr>
          <w:p w14:paraId="0F743DBE"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79716934" w14:textId="77777777" w:rsidR="00680232" w:rsidRPr="00680232" w:rsidRDefault="00680232" w:rsidP="00680232">
            <w:pPr>
              <w:rPr>
                <w:rFonts w:eastAsia="Times New Roman" w:cs="Arial"/>
                <w:szCs w:val="20"/>
              </w:rPr>
            </w:pPr>
            <w:r w:rsidRPr="00680232">
              <w:rPr>
                <w:rFonts w:eastAsia="Times New Roman" w:cs="Arial"/>
                <w:szCs w:val="20"/>
              </w:rPr>
              <w:t>Martha</w:t>
            </w:r>
          </w:p>
        </w:tc>
        <w:tc>
          <w:tcPr>
            <w:tcW w:w="1980" w:type="dxa"/>
            <w:noWrap/>
            <w:hideMark/>
          </w:tcPr>
          <w:p w14:paraId="0EDDDF2A" w14:textId="77777777" w:rsidR="00680232" w:rsidRPr="00680232" w:rsidRDefault="00680232" w:rsidP="00680232">
            <w:pPr>
              <w:rPr>
                <w:rFonts w:eastAsia="Times New Roman" w:cs="Arial"/>
                <w:szCs w:val="20"/>
              </w:rPr>
            </w:pPr>
            <w:r w:rsidRPr="00680232">
              <w:rPr>
                <w:rFonts w:eastAsia="Times New Roman" w:cs="Arial"/>
                <w:szCs w:val="20"/>
              </w:rPr>
              <w:t>Cordova</w:t>
            </w:r>
          </w:p>
        </w:tc>
        <w:tc>
          <w:tcPr>
            <w:tcW w:w="3870" w:type="dxa"/>
            <w:noWrap/>
            <w:hideMark/>
          </w:tcPr>
          <w:p w14:paraId="70C6F7B1" w14:textId="77777777" w:rsidR="00680232" w:rsidRPr="00680232" w:rsidRDefault="00680232" w:rsidP="00680232">
            <w:pPr>
              <w:rPr>
                <w:rFonts w:eastAsia="Times New Roman" w:cs="Arial"/>
                <w:szCs w:val="20"/>
              </w:rPr>
            </w:pPr>
            <w:r w:rsidRPr="00680232">
              <w:rPr>
                <w:rFonts w:eastAsia="Times New Roman" w:cs="Arial"/>
                <w:szCs w:val="20"/>
              </w:rPr>
              <w:t>The Boeing Company</w:t>
            </w:r>
          </w:p>
        </w:tc>
        <w:tc>
          <w:tcPr>
            <w:tcW w:w="2160" w:type="dxa"/>
            <w:noWrap/>
          </w:tcPr>
          <w:p w14:paraId="1C192C4D" w14:textId="77777777" w:rsidR="00680232" w:rsidRPr="00680232" w:rsidRDefault="00680232" w:rsidP="00680232">
            <w:pPr>
              <w:jc w:val="center"/>
              <w:rPr>
                <w:rFonts w:eastAsia="Times New Roman" w:cs="Arial"/>
                <w:szCs w:val="20"/>
              </w:rPr>
            </w:pPr>
          </w:p>
        </w:tc>
      </w:tr>
      <w:tr w:rsidR="00680232" w:rsidRPr="00680232" w14:paraId="65D7AB0B" w14:textId="77777777" w:rsidTr="00680232">
        <w:tblPrEx>
          <w:tblCellMar>
            <w:left w:w="108" w:type="dxa"/>
            <w:right w:w="108" w:type="dxa"/>
          </w:tblCellMar>
        </w:tblPrEx>
        <w:trPr>
          <w:trHeight w:val="255"/>
        </w:trPr>
        <w:tc>
          <w:tcPr>
            <w:tcW w:w="295" w:type="dxa"/>
            <w:noWrap/>
            <w:hideMark/>
          </w:tcPr>
          <w:p w14:paraId="076D291B"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01CEA1BE" w14:textId="77777777" w:rsidR="00680232" w:rsidRPr="00680232" w:rsidRDefault="00680232" w:rsidP="00680232">
            <w:pPr>
              <w:rPr>
                <w:rFonts w:eastAsia="Times New Roman" w:cs="Arial"/>
                <w:szCs w:val="20"/>
              </w:rPr>
            </w:pPr>
            <w:r w:rsidRPr="00680232">
              <w:rPr>
                <w:rFonts w:eastAsia="Times New Roman" w:cs="Arial"/>
                <w:szCs w:val="20"/>
              </w:rPr>
              <w:t>Christopher</w:t>
            </w:r>
          </w:p>
        </w:tc>
        <w:tc>
          <w:tcPr>
            <w:tcW w:w="1980" w:type="dxa"/>
            <w:noWrap/>
            <w:hideMark/>
          </w:tcPr>
          <w:p w14:paraId="6F1F9A96" w14:textId="77777777" w:rsidR="00680232" w:rsidRPr="00680232" w:rsidRDefault="00680232" w:rsidP="00680232">
            <w:pPr>
              <w:rPr>
                <w:rFonts w:eastAsia="Times New Roman" w:cs="Arial"/>
                <w:szCs w:val="20"/>
              </w:rPr>
            </w:pPr>
            <w:r w:rsidRPr="00680232">
              <w:rPr>
                <w:rFonts w:eastAsia="Times New Roman" w:cs="Arial"/>
                <w:szCs w:val="20"/>
              </w:rPr>
              <w:t>Davison</w:t>
            </w:r>
          </w:p>
        </w:tc>
        <w:tc>
          <w:tcPr>
            <w:tcW w:w="3870" w:type="dxa"/>
            <w:noWrap/>
            <w:hideMark/>
          </w:tcPr>
          <w:p w14:paraId="2A7A5EE9" w14:textId="77777777" w:rsidR="00680232" w:rsidRPr="00680232" w:rsidRDefault="00680232" w:rsidP="00680232">
            <w:pPr>
              <w:rPr>
                <w:rFonts w:eastAsia="Times New Roman" w:cs="Arial"/>
                <w:szCs w:val="20"/>
              </w:rPr>
            </w:pPr>
            <w:r w:rsidRPr="00680232">
              <w:rPr>
                <w:rFonts w:eastAsia="Times New Roman" w:cs="Arial"/>
                <w:szCs w:val="20"/>
              </w:rPr>
              <w:t>Spirit AeroSystems</w:t>
            </w:r>
          </w:p>
        </w:tc>
        <w:tc>
          <w:tcPr>
            <w:tcW w:w="2160" w:type="dxa"/>
            <w:noWrap/>
          </w:tcPr>
          <w:p w14:paraId="3397E923" w14:textId="77777777" w:rsidR="00680232" w:rsidRPr="00680232" w:rsidRDefault="00680232" w:rsidP="00680232">
            <w:pPr>
              <w:jc w:val="center"/>
              <w:rPr>
                <w:rFonts w:eastAsia="Times New Roman" w:cs="Arial"/>
                <w:szCs w:val="20"/>
              </w:rPr>
            </w:pPr>
          </w:p>
        </w:tc>
      </w:tr>
      <w:tr w:rsidR="00680232" w:rsidRPr="00680232" w14:paraId="49A88509" w14:textId="77777777" w:rsidTr="00680232">
        <w:tblPrEx>
          <w:tblCellMar>
            <w:left w:w="108" w:type="dxa"/>
            <w:right w:w="108" w:type="dxa"/>
          </w:tblCellMar>
        </w:tblPrEx>
        <w:trPr>
          <w:trHeight w:val="255"/>
        </w:trPr>
        <w:tc>
          <w:tcPr>
            <w:tcW w:w="295" w:type="dxa"/>
            <w:noWrap/>
            <w:hideMark/>
          </w:tcPr>
          <w:p w14:paraId="1DC9C234"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602C0C5F" w14:textId="77777777" w:rsidR="00680232" w:rsidRPr="00680232" w:rsidRDefault="00680232" w:rsidP="00680232">
            <w:pPr>
              <w:rPr>
                <w:rFonts w:eastAsia="Times New Roman" w:cs="Arial"/>
                <w:szCs w:val="20"/>
              </w:rPr>
            </w:pPr>
            <w:r w:rsidRPr="00680232">
              <w:rPr>
                <w:rFonts w:eastAsia="Times New Roman" w:cs="Arial"/>
                <w:szCs w:val="20"/>
              </w:rPr>
              <w:t>David</w:t>
            </w:r>
          </w:p>
        </w:tc>
        <w:tc>
          <w:tcPr>
            <w:tcW w:w="1980" w:type="dxa"/>
            <w:noWrap/>
            <w:hideMark/>
          </w:tcPr>
          <w:p w14:paraId="14E37D4B" w14:textId="77777777" w:rsidR="00680232" w:rsidRPr="00680232" w:rsidRDefault="00680232" w:rsidP="00680232">
            <w:pPr>
              <w:rPr>
                <w:rFonts w:eastAsia="Times New Roman" w:cs="Arial"/>
                <w:szCs w:val="20"/>
              </w:rPr>
            </w:pPr>
            <w:r w:rsidRPr="00680232">
              <w:rPr>
                <w:rFonts w:eastAsia="Times New Roman" w:cs="Arial"/>
                <w:szCs w:val="20"/>
              </w:rPr>
              <w:t>Day</w:t>
            </w:r>
          </w:p>
        </w:tc>
        <w:tc>
          <w:tcPr>
            <w:tcW w:w="3870" w:type="dxa"/>
            <w:noWrap/>
            <w:hideMark/>
          </w:tcPr>
          <w:p w14:paraId="764A657C" w14:textId="77777777" w:rsidR="00680232" w:rsidRPr="00680232" w:rsidRDefault="00680232" w:rsidP="00680232">
            <w:pPr>
              <w:rPr>
                <w:rFonts w:eastAsia="Times New Roman" w:cs="Arial"/>
                <w:szCs w:val="20"/>
              </w:rPr>
            </w:pPr>
            <w:r w:rsidRPr="00680232">
              <w:rPr>
                <w:rFonts w:eastAsia="Times New Roman" w:cs="Arial"/>
                <w:szCs w:val="20"/>
              </w:rPr>
              <w:t>GE Aviation</w:t>
            </w:r>
          </w:p>
        </w:tc>
        <w:tc>
          <w:tcPr>
            <w:tcW w:w="2160" w:type="dxa"/>
            <w:noWrap/>
          </w:tcPr>
          <w:p w14:paraId="1F242B94" w14:textId="77777777" w:rsidR="00680232" w:rsidRPr="00680232" w:rsidRDefault="00680232" w:rsidP="00680232">
            <w:pPr>
              <w:jc w:val="center"/>
              <w:rPr>
                <w:rFonts w:eastAsia="Times New Roman" w:cs="Arial"/>
                <w:szCs w:val="20"/>
              </w:rPr>
            </w:pPr>
            <w:r>
              <w:rPr>
                <w:rFonts w:eastAsia="Times New Roman" w:cs="Arial"/>
                <w:szCs w:val="20"/>
              </w:rPr>
              <w:t>Secretary</w:t>
            </w:r>
          </w:p>
        </w:tc>
      </w:tr>
      <w:tr w:rsidR="00680232" w:rsidRPr="00680232" w14:paraId="12DFF830" w14:textId="77777777" w:rsidTr="00680232">
        <w:tblPrEx>
          <w:tblCellMar>
            <w:left w:w="108" w:type="dxa"/>
            <w:right w:w="108" w:type="dxa"/>
          </w:tblCellMar>
        </w:tblPrEx>
        <w:trPr>
          <w:trHeight w:val="255"/>
        </w:trPr>
        <w:tc>
          <w:tcPr>
            <w:tcW w:w="295" w:type="dxa"/>
            <w:noWrap/>
            <w:hideMark/>
          </w:tcPr>
          <w:p w14:paraId="610493EB"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07AB7C8F" w14:textId="77777777" w:rsidR="00680232" w:rsidRPr="00680232" w:rsidRDefault="00680232" w:rsidP="00680232">
            <w:pPr>
              <w:rPr>
                <w:rFonts w:eastAsia="Times New Roman" w:cs="Arial"/>
                <w:szCs w:val="20"/>
              </w:rPr>
            </w:pPr>
            <w:r w:rsidRPr="00680232">
              <w:rPr>
                <w:rFonts w:eastAsia="Times New Roman" w:cs="Arial"/>
                <w:szCs w:val="20"/>
              </w:rPr>
              <w:t>Steven</w:t>
            </w:r>
          </w:p>
        </w:tc>
        <w:tc>
          <w:tcPr>
            <w:tcW w:w="1980" w:type="dxa"/>
            <w:noWrap/>
            <w:hideMark/>
          </w:tcPr>
          <w:p w14:paraId="58D639C9" w14:textId="77777777" w:rsidR="00680232" w:rsidRPr="00680232" w:rsidRDefault="00680232" w:rsidP="00680232">
            <w:pPr>
              <w:rPr>
                <w:rFonts w:eastAsia="Times New Roman" w:cs="Arial"/>
                <w:szCs w:val="20"/>
              </w:rPr>
            </w:pPr>
            <w:r w:rsidRPr="00680232">
              <w:rPr>
                <w:rFonts w:eastAsia="Times New Roman" w:cs="Arial"/>
                <w:szCs w:val="20"/>
              </w:rPr>
              <w:t>Dix</w:t>
            </w:r>
          </w:p>
        </w:tc>
        <w:tc>
          <w:tcPr>
            <w:tcW w:w="3870" w:type="dxa"/>
            <w:noWrap/>
            <w:hideMark/>
          </w:tcPr>
          <w:p w14:paraId="2D73CAEF" w14:textId="77777777" w:rsidR="00680232" w:rsidRPr="00680232" w:rsidRDefault="00680232" w:rsidP="00680232">
            <w:pPr>
              <w:rPr>
                <w:rFonts w:eastAsia="Times New Roman" w:cs="Arial"/>
                <w:szCs w:val="20"/>
              </w:rPr>
            </w:pPr>
            <w:r w:rsidRPr="00680232">
              <w:rPr>
                <w:rFonts w:eastAsia="Times New Roman" w:cs="Arial"/>
                <w:szCs w:val="20"/>
              </w:rPr>
              <w:t>Eaton Aerospace Group</w:t>
            </w:r>
          </w:p>
        </w:tc>
        <w:tc>
          <w:tcPr>
            <w:tcW w:w="2160" w:type="dxa"/>
            <w:noWrap/>
          </w:tcPr>
          <w:p w14:paraId="4E3CF06A" w14:textId="77777777" w:rsidR="00680232" w:rsidRPr="00680232" w:rsidRDefault="00680232" w:rsidP="00680232">
            <w:pPr>
              <w:jc w:val="center"/>
              <w:rPr>
                <w:rFonts w:eastAsia="Times New Roman" w:cs="Arial"/>
                <w:szCs w:val="20"/>
              </w:rPr>
            </w:pPr>
          </w:p>
        </w:tc>
      </w:tr>
      <w:tr w:rsidR="00680232" w:rsidRPr="00680232" w14:paraId="20C50558" w14:textId="77777777" w:rsidTr="00680232">
        <w:tblPrEx>
          <w:tblCellMar>
            <w:left w:w="108" w:type="dxa"/>
            <w:right w:w="108" w:type="dxa"/>
          </w:tblCellMar>
        </w:tblPrEx>
        <w:trPr>
          <w:trHeight w:val="255"/>
        </w:trPr>
        <w:tc>
          <w:tcPr>
            <w:tcW w:w="295" w:type="dxa"/>
            <w:noWrap/>
            <w:hideMark/>
          </w:tcPr>
          <w:p w14:paraId="35410F92"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1BFF2E7B" w14:textId="77777777" w:rsidR="00680232" w:rsidRPr="00680232" w:rsidRDefault="00680232" w:rsidP="00680232">
            <w:pPr>
              <w:rPr>
                <w:rFonts w:eastAsia="Times New Roman" w:cs="Arial"/>
                <w:szCs w:val="20"/>
              </w:rPr>
            </w:pPr>
            <w:r w:rsidRPr="00680232">
              <w:rPr>
                <w:rFonts w:eastAsia="Times New Roman" w:cs="Arial"/>
                <w:szCs w:val="20"/>
              </w:rPr>
              <w:t>Claudia</w:t>
            </w:r>
          </w:p>
        </w:tc>
        <w:tc>
          <w:tcPr>
            <w:tcW w:w="1980" w:type="dxa"/>
            <w:noWrap/>
            <w:hideMark/>
          </w:tcPr>
          <w:p w14:paraId="27A6E161" w14:textId="77777777" w:rsidR="00680232" w:rsidRPr="00680232" w:rsidRDefault="00680232" w:rsidP="00680232">
            <w:pPr>
              <w:rPr>
                <w:rFonts w:eastAsia="Times New Roman" w:cs="Arial"/>
                <w:szCs w:val="20"/>
              </w:rPr>
            </w:pPr>
            <w:r w:rsidRPr="00680232">
              <w:rPr>
                <w:rFonts w:eastAsia="Times New Roman" w:cs="Arial"/>
                <w:szCs w:val="20"/>
              </w:rPr>
              <w:t>Granados</w:t>
            </w:r>
          </w:p>
        </w:tc>
        <w:tc>
          <w:tcPr>
            <w:tcW w:w="3870" w:type="dxa"/>
            <w:noWrap/>
            <w:hideMark/>
          </w:tcPr>
          <w:p w14:paraId="4820FEA9" w14:textId="77777777" w:rsidR="00680232" w:rsidRPr="00680232" w:rsidRDefault="00680232" w:rsidP="00680232">
            <w:pPr>
              <w:rPr>
                <w:rFonts w:eastAsia="Times New Roman" w:cs="Arial"/>
                <w:szCs w:val="20"/>
              </w:rPr>
            </w:pPr>
            <w:r w:rsidRPr="00680232">
              <w:rPr>
                <w:rFonts w:eastAsia="Times New Roman" w:cs="Arial"/>
                <w:szCs w:val="20"/>
              </w:rPr>
              <w:t>Honeywell Aerospace</w:t>
            </w:r>
          </w:p>
        </w:tc>
        <w:tc>
          <w:tcPr>
            <w:tcW w:w="2160" w:type="dxa"/>
            <w:noWrap/>
          </w:tcPr>
          <w:p w14:paraId="34D66A9E" w14:textId="77777777" w:rsidR="00680232" w:rsidRPr="00680232" w:rsidRDefault="00680232" w:rsidP="00680232">
            <w:pPr>
              <w:jc w:val="center"/>
              <w:rPr>
                <w:rFonts w:eastAsia="Times New Roman" w:cs="Arial"/>
                <w:szCs w:val="20"/>
              </w:rPr>
            </w:pPr>
          </w:p>
        </w:tc>
      </w:tr>
      <w:tr w:rsidR="00680232" w:rsidRPr="00680232" w14:paraId="5F0C772B" w14:textId="77777777" w:rsidTr="00680232">
        <w:tblPrEx>
          <w:tblCellMar>
            <w:left w:w="108" w:type="dxa"/>
            <w:right w:w="108" w:type="dxa"/>
          </w:tblCellMar>
        </w:tblPrEx>
        <w:trPr>
          <w:trHeight w:val="255"/>
        </w:trPr>
        <w:tc>
          <w:tcPr>
            <w:tcW w:w="295" w:type="dxa"/>
            <w:noWrap/>
            <w:hideMark/>
          </w:tcPr>
          <w:p w14:paraId="416AC18F"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37905474" w14:textId="77777777" w:rsidR="00680232" w:rsidRPr="00680232" w:rsidRDefault="00680232" w:rsidP="00680232">
            <w:pPr>
              <w:rPr>
                <w:rFonts w:eastAsia="Times New Roman" w:cs="Arial"/>
                <w:szCs w:val="20"/>
              </w:rPr>
            </w:pPr>
            <w:r w:rsidRPr="00680232">
              <w:rPr>
                <w:rFonts w:eastAsia="Times New Roman" w:cs="Arial"/>
                <w:szCs w:val="20"/>
              </w:rPr>
              <w:t>Timothy</w:t>
            </w:r>
          </w:p>
        </w:tc>
        <w:tc>
          <w:tcPr>
            <w:tcW w:w="1980" w:type="dxa"/>
            <w:noWrap/>
            <w:hideMark/>
          </w:tcPr>
          <w:p w14:paraId="3704C740" w14:textId="77777777" w:rsidR="00680232" w:rsidRPr="00680232" w:rsidRDefault="00680232" w:rsidP="00680232">
            <w:pPr>
              <w:rPr>
                <w:rFonts w:eastAsia="Times New Roman" w:cs="Arial"/>
                <w:szCs w:val="20"/>
              </w:rPr>
            </w:pPr>
            <w:r w:rsidRPr="00680232">
              <w:rPr>
                <w:rFonts w:eastAsia="Times New Roman" w:cs="Arial"/>
                <w:szCs w:val="20"/>
              </w:rPr>
              <w:t>Krumholz</w:t>
            </w:r>
          </w:p>
        </w:tc>
        <w:tc>
          <w:tcPr>
            <w:tcW w:w="3870" w:type="dxa"/>
            <w:noWrap/>
            <w:hideMark/>
          </w:tcPr>
          <w:p w14:paraId="4D5CA54F" w14:textId="77777777" w:rsidR="00680232" w:rsidRPr="00680232" w:rsidRDefault="00680232" w:rsidP="00680232">
            <w:pPr>
              <w:rPr>
                <w:rFonts w:eastAsia="Times New Roman" w:cs="Arial"/>
                <w:szCs w:val="20"/>
              </w:rPr>
            </w:pPr>
            <w:r w:rsidRPr="00680232">
              <w:rPr>
                <w:rFonts w:eastAsia="Times New Roman" w:cs="Arial"/>
                <w:szCs w:val="20"/>
              </w:rPr>
              <w:t>Rockwell Collins</w:t>
            </w:r>
          </w:p>
        </w:tc>
        <w:tc>
          <w:tcPr>
            <w:tcW w:w="2160" w:type="dxa"/>
            <w:noWrap/>
          </w:tcPr>
          <w:p w14:paraId="763EB757" w14:textId="77777777" w:rsidR="00680232" w:rsidRPr="00680232" w:rsidRDefault="00680232" w:rsidP="00680232">
            <w:pPr>
              <w:jc w:val="center"/>
              <w:rPr>
                <w:rFonts w:eastAsia="Times New Roman" w:cs="Arial"/>
                <w:szCs w:val="20"/>
              </w:rPr>
            </w:pPr>
            <w:r>
              <w:rPr>
                <w:rFonts w:eastAsia="Times New Roman" w:cs="Arial"/>
                <w:szCs w:val="20"/>
              </w:rPr>
              <w:t>Vice Chair</w:t>
            </w:r>
          </w:p>
        </w:tc>
      </w:tr>
      <w:tr w:rsidR="00680232" w:rsidRPr="00680232" w14:paraId="496B414C" w14:textId="77777777" w:rsidTr="00680232">
        <w:tblPrEx>
          <w:tblCellMar>
            <w:left w:w="108" w:type="dxa"/>
            <w:right w:w="108" w:type="dxa"/>
          </w:tblCellMar>
        </w:tblPrEx>
        <w:trPr>
          <w:trHeight w:val="255"/>
        </w:trPr>
        <w:tc>
          <w:tcPr>
            <w:tcW w:w="295" w:type="dxa"/>
            <w:noWrap/>
            <w:hideMark/>
          </w:tcPr>
          <w:p w14:paraId="7C44A27B"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701A3E2B" w14:textId="77777777" w:rsidR="00680232" w:rsidRPr="00680232" w:rsidRDefault="00680232" w:rsidP="00680232">
            <w:pPr>
              <w:rPr>
                <w:rFonts w:eastAsia="Times New Roman" w:cs="Arial"/>
                <w:szCs w:val="20"/>
              </w:rPr>
            </w:pPr>
            <w:r w:rsidRPr="00680232">
              <w:rPr>
                <w:rFonts w:eastAsia="Times New Roman" w:cs="Arial"/>
                <w:szCs w:val="20"/>
              </w:rPr>
              <w:t>Tony</w:t>
            </w:r>
          </w:p>
        </w:tc>
        <w:tc>
          <w:tcPr>
            <w:tcW w:w="1980" w:type="dxa"/>
            <w:noWrap/>
            <w:hideMark/>
          </w:tcPr>
          <w:p w14:paraId="39CFF0A2" w14:textId="77777777" w:rsidR="00680232" w:rsidRPr="00680232" w:rsidRDefault="00680232" w:rsidP="00680232">
            <w:pPr>
              <w:rPr>
                <w:rFonts w:eastAsia="Times New Roman" w:cs="Arial"/>
                <w:szCs w:val="20"/>
              </w:rPr>
            </w:pPr>
            <w:r w:rsidRPr="00680232">
              <w:rPr>
                <w:rFonts w:eastAsia="Times New Roman" w:cs="Arial"/>
                <w:szCs w:val="20"/>
              </w:rPr>
              <w:t>Marino</w:t>
            </w:r>
          </w:p>
        </w:tc>
        <w:tc>
          <w:tcPr>
            <w:tcW w:w="3870" w:type="dxa"/>
            <w:noWrap/>
            <w:hideMark/>
          </w:tcPr>
          <w:p w14:paraId="794F37D0" w14:textId="77777777" w:rsidR="00680232" w:rsidRPr="00680232" w:rsidRDefault="00680232" w:rsidP="00680232">
            <w:pPr>
              <w:rPr>
                <w:rFonts w:eastAsia="Times New Roman" w:cs="Arial"/>
                <w:szCs w:val="20"/>
              </w:rPr>
            </w:pPr>
            <w:r w:rsidRPr="00680232">
              <w:rPr>
                <w:rFonts w:eastAsia="Times New Roman" w:cs="Arial"/>
                <w:szCs w:val="20"/>
              </w:rPr>
              <w:t>The Boeing Company</w:t>
            </w:r>
          </w:p>
        </w:tc>
        <w:tc>
          <w:tcPr>
            <w:tcW w:w="2160" w:type="dxa"/>
            <w:noWrap/>
          </w:tcPr>
          <w:p w14:paraId="6F1D12E8" w14:textId="77777777" w:rsidR="00680232" w:rsidRPr="00680232" w:rsidRDefault="00680232" w:rsidP="00680232">
            <w:pPr>
              <w:jc w:val="center"/>
              <w:rPr>
                <w:rFonts w:eastAsia="Times New Roman" w:cs="Arial"/>
                <w:szCs w:val="20"/>
              </w:rPr>
            </w:pPr>
          </w:p>
        </w:tc>
      </w:tr>
      <w:tr w:rsidR="00680232" w:rsidRPr="00680232" w14:paraId="47A09A14" w14:textId="77777777" w:rsidTr="00680232">
        <w:tblPrEx>
          <w:tblCellMar>
            <w:left w:w="108" w:type="dxa"/>
            <w:right w:w="108" w:type="dxa"/>
          </w:tblCellMar>
        </w:tblPrEx>
        <w:trPr>
          <w:trHeight w:val="255"/>
        </w:trPr>
        <w:tc>
          <w:tcPr>
            <w:tcW w:w="295" w:type="dxa"/>
            <w:noWrap/>
            <w:hideMark/>
          </w:tcPr>
          <w:p w14:paraId="32B4D38E"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5E24CB58" w14:textId="77777777" w:rsidR="00680232" w:rsidRPr="00680232" w:rsidRDefault="00680232" w:rsidP="00680232">
            <w:pPr>
              <w:rPr>
                <w:rFonts w:eastAsia="Times New Roman" w:cs="Arial"/>
                <w:szCs w:val="20"/>
              </w:rPr>
            </w:pPr>
            <w:r w:rsidRPr="00680232">
              <w:rPr>
                <w:rFonts w:eastAsia="Times New Roman" w:cs="Arial"/>
                <w:szCs w:val="20"/>
              </w:rPr>
              <w:t>Frank</w:t>
            </w:r>
          </w:p>
        </w:tc>
        <w:tc>
          <w:tcPr>
            <w:tcW w:w="1980" w:type="dxa"/>
            <w:noWrap/>
            <w:hideMark/>
          </w:tcPr>
          <w:p w14:paraId="4499EA3A" w14:textId="77777777" w:rsidR="00680232" w:rsidRPr="00680232" w:rsidRDefault="00680232" w:rsidP="00680232">
            <w:pPr>
              <w:rPr>
                <w:rFonts w:eastAsia="Times New Roman" w:cs="Arial"/>
                <w:szCs w:val="20"/>
              </w:rPr>
            </w:pPr>
            <w:r w:rsidRPr="00680232">
              <w:rPr>
                <w:rFonts w:eastAsia="Times New Roman" w:cs="Arial"/>
                <w:szCs w:val="20"/>
              </w:rPr>
              <w:t>McManus</w:t>
            </w:r>
          </w:p>
        </w:tc>
        <w:tc>
          <w:tcPr>
            <w:tcW w:w="3870" w:type="dxa"/>
            <w:noWrap/>
            <w:hideMark/>
          </w:tcPr>
          <w:p w14:paraId="5FBB8531" w14:textId="77777777" w:rsidR="00680232" w:rsidRPr="00680232" w:rsidRDefault="00680232" w:rsidP="00680232">
            <w:pPr>
              <w:rPr>
                <w:rFonts w:eastAsia="Times New Roman" w:cs="Arial"/>
                <w:szCs w:val="20"/>
              </w:rPr>
            </w:pPr>
            <w:r w:rsidRPr="00680232">
              <w:rPr>
                <w:rFonts w:eastAsia="Times New Roman" w:cs="Arial"/>
                <w:szCs w:val="20"/>
              </w:rPr>
              <w:t>Lockheed Martin Corporation</w:t>
            </w:r>
          </w:p>
        </w:tc>
        <w:tc>
          <w:tcPr>
            <w:tcW w:w="2160" w:type="dxa"/>
            <w:noWrap/>
          </w:tcPr>
          <w:p w14:paraId="37F185A3" w14:textId="77777777" w:rsidR="00680232" w:rsidRPr="00680232" w:rsidRDefault="00680232" w:rsidP="00680232">
            <w:pPr>
              <w:jc w:val="center"/>
              <w:rPr>
                <w:rFonts w:eastAsia="Times New Roman" w:cs="Arial"/>
                <w:szCs w:val="20"/>
              </w:rPr>
            </w:pPr>
          </w:p>
        </w:tc>
      </w:tr>
      <w:tr w:rsidR="00680232" w:rsidRPr="00680232" w14:paraId="36C9EFAD" w14:textId="77777777" w:rsidTr="00680232">
        <w:tblPrEx>
          <w:tblCellMar>
            <w:left w:w="108" w:type="dxa"/>
            <w:right w:w="108" w:type="dxa"/>
          </w:tblCellMar>
        </w:tblPrEx>
        <w:trPr>
          <w:trHeight w:val="255"/>
        </w:trPr>
        <w:tc>
          <w:tcPr>
            <w:tcW w:w="295" w:type="dxa"/>
            <w:noWrap/>
            <w:hideMark/>
          </w:tcPr>
          <w:p w14:paraId="7743BF43"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7D0D70E9" w14:textId="77777777" w:rsidR="00680232" w:rsidRPr="00680232" w:rsidRDefault="00680232" w:rsidP="00680232">
            <w:pPr>
              <w:rPr>
                <w:rFonts w:eastAsia="Times New Roman" w:cs="Arial"/>
                <w:szCs w:val="20"/>
              </w:rPr>
            </w:pPr>
            <w:r w:rsidRPr="00680232">
              <w:rPr>
                <w:rFonts w:eastAsia="Times New Roman" w:cs="Arial"/>
                <w:szCs w:val="20"/>
              </w:rPr>
              <w:t>Angelina</w:t>
            </w:r>
          </w:p>
        </w:tc>
        <w:tc>
          <w:tcPr>
            <w:tcW w:w="1980" w:type="dxa"/>
            <w:noWrap/>
            <w:hideMark/>
          </w:tcPr>
          <w:p w14:paraId="07B1995A" w14:textId="77777777" w:rsidR="00680232" w:rsidRPr="00680232" w:rsidRDefault="00680232" w:rsidP="00680232">
            <w:pPr>
              <w:rPr>
                <w:rFonts w:eastAsia="Times New Roman" w:cs="Arial"/>
                <w:szCs w:val="20"/>
              </w:rPr>
            </w:pPr>
            <w:r w:rsidRPr="00680232">
              <w:rPr>
                <w:rFonts w:eastAsia="Times New Roman" w:cs="Arial"/>
                <w:szCs w:val="20"/>
              </w:rPr>
              <w:t>Mendoza</w:t>
            </w:r>
          </w:p>
        </w:tc>
        <w:tc>
          <w:tcPr>
            <w:tcW w:w="3870" w:type="dxa"/>
            <w:noWrap/>
            <w:hideMark/>
          </w:tcPr>
          <w:p w14:paraId="4354CB2A" w14:textId="77777777" w:rsidR="00680232" w:rsidRPr="00680232" w:rsidRDefault="00680232" w:rsidP="00680232">
            <w:pPr>
              <w:rPr>
                <w:rFonts w:eastAsia="Times New Roman" w:cs="Arial"/>
                <w:szCs w:val="20"/>
              </w:rPr>
            </w:pPr>
            <w:r w:rsidRPr="00680232">
              <w:rPr>
                <w:rFonts w:eastAsia="Times New Roman" w:cs="Arial"/>
                <w:szCs w:val="20"/>
              </w:rPr>
              <w:t>UTC Aerospace (Goodrich)</w:t>
            </w:r>
          </w:p>
        </w:tc>
        <w:tc>
          <w:tcPr>
            <w:tcW w:w="2160" w:type="dxa"/>
            <w:noWrap/>
          </w:tcPr>
          <w:p w14:paraId="2702F050" w14:textId="77777777" w:rsidR="00680232" w:rsidRPr="00680232" w:rsidRDefault="00680232" w:rsidP="00680232">
            <w:pPr>
              <w:jc w:val="center"/>
              <w:rPr>
                <w:rFonts w:eastAsia="Times New Roman" w:cs="Arial"/>
                <w:szCs w:val="20"/>
              </w:rPr>
            </w:pPr>
          </w:p>
        </w:tc>
      </w:tr>
      <w:tr w:rsidR="00680232" w:rsidRPr="00680232" w14:paraId="4D580520" w14:textId="77777777" w:rsidTr="00680232">
        <w:tblPrEx>
          <w:tblCellMar>
            <w:left w:w="108" w:type="dxa"/>
            <w:right w:w="108" w:type="dxa"/>
          </w:tblCellMar>
        </w:tblPrEx>
        <w:trPr>
          <w:trHeight w:val="255"/>
        </w:trPr>
        <w:tc>
          <w:tcPr>
            <w:tcW w:w="295" w:type="dxa"/>
            <w:noWrap/>
            <w:hideMark/>
          </w:tcPr>
          <w:p w14:paraId="7BFC85AD"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21A14924" w14:textId="77777777" w:rsidR="00680232" w:rsidRPr="00680232" w:rsidRDefault="00680232" w:rsidP="00680232">
            <w:pPr>
              <w:rPr>
                <w:rFonts w:eastAsia="Times New Roman" w:cs="Arial"/>
                <w:szCs w:val="20"/>
              </w:rPr>
            </w:pPr>
            <w:r w:rsidRPr="00680232">
              <w:rPr>
                <w:rFonts w:eastAsia="Times New Roman" w:cs="Arial"/>
                <w:szCs w:val="20"/>
              </w:rPr>
              <w:t>John</w:t>
            </w:r>
          </w:p>
        </w:tc>
        <w:tc>
          <w:tcPr>
            <w:tcW w:w="1980" w:type="dxa"/>
            <w:noWrap/>
            <w:hideMark/>
          </w:tcPr>
          <w:p w14:paraId="437FB754" w14:textId="77777777" w:rsidR="00680232" w:rsidRPr="00680232" w:rsidRDefault="00680232" w:rsidP="00680232">
            <w:pPr>
              <w:rPr>
                <w:rFonts w:eastAsia="Times New Roman" w:cs="Arial"/>
                <w:szCs w:val="20"/>
              </w:rPr>
            </w:pPr>
            <w:r w:rsidRPr="00680232">
              <w:rPr>
                <w:rFonts w:eastAsia="Times New Roman" w:cs="Arial"/>
                <w:szCs w:val="20"/>
              </w:rPr>
              <w:t>Merritt</w:t>
            </w:r>
          </w:p>
        </w:tc>
        <w:tc>
          <w:tcPr>
            <w:tcW w:w="3870" w:type="dxa"/>
            <w:noWrap/>
            <w:hideMark/>
          </w:tcPr>
          <w:p w14:paraId="15A8F5C6" w14:textId="77777777" w:rsidR="00680232" w:rsidRPr="00680232" w:rsidRDefault="00680232" w:rsidP="00680232">
            <w:pPr>
              <w:rPr>
                <w:rFonts w:eastAsia="Times New Roman" w:cs="Arial"/>
                <w:szCs w:val="20"/>
              </w:rPr>
            </w:pPr>
            <w:r w:rsidRPr="00680232">
              <w:rPr>
                <w:rFonts w:eastAsia="Times New Roman" w:cs="Arial"/>
                <w:szCs w:val="20"/>
              </w:rPr>
              <w:t>Lockheed Martin Corporation</w:t>
            </w:r>
          </w:p>
        </w:tc>
        <w:tc>
          <w:tcPr>
            <w:tcW w:w="2160" w:type="dxa"/>
            <w:noWrap/>
          </w:tcPr>
          <w:p w14:paraId="0DE961C2" w14:textId="77777777" w:rsidR="00680232" w:rsidRPr="00680232" w:rsidRDefault="00680232" w:rsidP="00680232">
            <w:pPr>
              <w:jc w:val="center"/>
              <w:rPr>
                <w:rFonts w:eastAsia="Times New Roman" w:cs="Arial"/>
                <w:szCs w:val="20"/>
              </w:rPr>
            </w:pPr>
          </w:p>
        </w:tc>
      </w:tr>
      <w:tr w:rsidR="00680232" w:rsidRPr="00680232" w14:paraId="28173DB9" w14:textId="77777777" w:rsidTr="00680232">
        <w:tblPrEx>
          <w:tblCellMar>
            <w:left w:w="108" w:type="dxa"/>
            <w:right w:w="108" w:type="dxa"/>
          </w:tblCellMar>
        </w:tblPrEx>
        <w:trPr>
          <w:trHeight w:val="255"/>
        </w:trPr>
        <w:tc>
          <w:tcPr>
            <w:tcW w:w="295" w:type="dxa"/>
            <w:noWrap/>
            <w:hideMark/>
          </w:tcPr>
          <w:p w14:paraId="44C97890"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00230149" w14:textId="77777777" w:rsidR="00680232" w:rsidRPr="00680232" w:rsidRDefault="00680232" w:rsidP="00680232">
            <w:pPr>
              <w:rPr>
                <w:rFonts w:eastAsia="Times New Roman" w:cs="Arial"/>
                <w:szCs w:val="20"/>
              </w:rPr>
            </w:pPr>
            <w:r w:rsidRPr="00680232">
              <w:rPr>
                <w:rFonts w:eastAsia="Times New Roman" w:cs="Arial"/>
                <w:szCs w:val="20"/>
              </w:rPr>
              <w:t>Scott</w:t>
            </w:r>
          </w:p>
        </w:tc>
        <w:tc>
          <w:tcPr>
            <w:tcW w:w="1980" w:type="dxa"/>
            <w:noWrap/>
            <w:hideMark/>
          </w:tcPr>
          <w:p w14:paraId="59F5003F" w14:textId="77777777" w:rsidR="00680232" w:rsidRPr="00680232" w:rsidRDefault="00680232" w:rsidP="00680232">
            <w:pPr>
              <w:rPr>
                <w:rFonts w:eastAsia="Times New Roman" w:cs="Arial"/>
                <w:szCs w:val="20"/>
              </w:rPr>
            </w:pPr>
            <w:r w:rsidRPr="00680232">
              <w:rPr>
                <w:rFonts w:eastAsia="Times New Roman" w:cs="Arial"/>
                <w:szCs w:val="20"/>
              </w:rPr>
              <w:t>O'Connor</w:t>
            </w:r>
          </w:p>
        </w:tc>
        <w:tc>
          <w:tcPr>
            <w:tcW w:w="3870" w:type="dxa"/>
            <w:noWrap/>
            <w:hideMark/>
          </w:tcPr>
          <w:p w14:paraId="2717499B" w14:textId="77777777" w:rsidR="00680232" w:rsidRPr="00680232" w:rsidRDefault="00680232" w:rsidP="00680232">
            <w:pPr>
              <w:rPr>
                <w:rFonts w:eastAsia="Times New Roman" w:cs="Arial"/>
                <w:szCs w:val="20"/>
              </w:rPr>
            </w:pPr>
            <w:r w:rsidRPr="00680232">
              <w:rPr>
                <w:rFonts w:eastAsia="Times New Roman" w:cs="Arial"/>
                <w:szCs w:val="20"/>
              </w:rPr>
              <w:t>Honeywell Aerospace</w:t>
            </w:r>
          </w:p>
        </w:tc>
        <w:tc>
          <w:tcPr>
            <w:tcW w:w="2160" w:type="dxa"/>
            <w:noWrap/>
          </w:tcPr>
          <w:p w14:paraId="436F8392" w14:textId="77777777" w:rsidR="00680232" w:rsidRPr="00680232" w:rsidRDefault="00680232" w:rsidP="00680232">
            <w:pPr>
              <w:jc w:val="center"/>
              <w:rPr>
                <w:rFonts w:eastAsia="Times New Roman" w:cs="Arial"/>
                <w:szCs w:val="20"/>
              </w:rPr>
            </w:pPr>
            <w:r>
              <w:rPr>
                <w:rFonts w:eastAsia="Times New Roman" w:cs="Arial"/>
                <w:szCs w:val="20"/>
              </w:rPr>
              <w:t>Chair</w:t>
            </w:r>
          </w:p>
        </w:tc>
      </w:tr>
      <w:tr w:rsidR="00680232" w:rsidRPr="00680232" w14:paraId="09B7EDAC" w14:textId="77777777" w:rsidTr="00680232">
        <w:tblPrEx>
          <w:tblCellMar>
            <w:left w:w="108" w:type="dxa"/>
            <w:right w:w="108" w:type="dxa"/>
          </w:tblCellMar>
        </w:tblPrEx>
        <w:trPr>
          <w:trHeight w:val="255"/>
        </w:trPr>
        <w:tc>
          <w:tcPr>
            <w:tcW w:w="295" w:type="dxa"/>
            <w:noWrap/>
            <w:hideMark/>
          </w:tcPr>
          <w:p w14:paraId="1EA7B933"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2378AEF3" w14:textId="77777777" w:rsidR="00680232" w:rsidRPr="00680232" w:rsidRDefault="00680232" w:rsidP="00680232">
            <w:pPr>
              <w:rPr>
                <w:rFonts w:eastAsia="Times New Roman" w:cs="Arial"/>
                <w:szCs w:val="20"/>
              </w:rPr>
            </w:pPr>
            <w:r w:rsidRPr="00680232">
              <w:rPr>
                <w:rFonts w:eastAsia="Times New Roman" w:cs="Arial"/>
                <w:szCs w:val="20"/>
              </w:rPr>
              <w:t>Trish</w:t>
            </w:r>
          </w:p>
        </w:tc>
        <w:tc>
          <w:tcPr>
            <w:tcW w:w="1980" w:type="dxa"/>
            <w:noWrap/>
            <w:hideMark/>
          </w:tcPr>
          <w:p w14:paraId="67DC5673" w14:textId="77777777" w:rsidR="00680232" w:rsidRPr="00680232" w:rsidRDefault="00680232" w:rsidP="00680232">
            <w:pPr>
              <w:rPr>
                <w:rFonts w:eastAsia="Times New Roman" w:cs="Arial"/>
                <w:szCs w:val="20"/>
              </w:rPr>
            </w:pPr>
            <w:r w:rsidRPr="00680232">
              <w:rPr>
                <w:rFonts w:eastAsia="Times New Roman" w:cs="Arial"/>
                <w:szCs w:val="20"/>
              </w:rPr>
              <w:t>Wesemann</w:t>
            </w:r>
          </w:p>
        </w:tc>
        <w:tc>
          <w:tcPr>
            <w:tcW w:w="3870" w:type="dxa"/>
            <w:noWrap/>
            <w:hideMark/>
          </w:tcPr>
          <w:p w14:paraId="0AED6022" w14:textId="77777777" w:rsidR="00680232" w:rsidRPr="00680232" w:rsidRDefault="00680232" w:rsidP="00680232">
            <w:pPr>
              <w:rPr>
                <w:rFonts w:eastAsia="Times New Roman" w:cs="Arial"/>
                <w:szCs w:val="20"/>
              </w:rPr>
            </w:pPr>
            <w:r w:rsidRPr="00680232">
              <w:rPr>
                <w:rFonts w:eastAsia="Times New Roman" w:cs="Arial"/>
                <w:szCs w:val="20"/>
              </w:rPr>
              <w:t>The Boeing Company</w:t>
            </w:r>
          </w:p>
        </w:tc>
        <w:tc>
          <w:tcPr>
            <w:tcW w:w="2160" w:type="dxa"/>
            <w:noWrap/>
          </w:tcPr>
          <w:p w14:paraId="4F8DB079" w14:textId="77777777" w:rsidR="00680232" w:rsidRPr="00680232" w:rsidRDefault="00680232" w:rsidP="00680232">
            <w:pPr>
              <w:jc w:val="center"/>
              <w:rPr>
                <w:rFonts w:eastAsia="Times New Roman" w:cs="Arial"/>
                <w:szCs w:val="20"/>
              </w:rPr>
            </w:pPr>
          </w:p>
        </w:tc>
      </w:tr>
    </w:tbl>
    <w:p w14:paraId="1EFB6E8A" w14:textId="77777777" w:rsidR="00A61353" w:rsidRDefault="00A61353" w:rsidP="00FC3F1E">
      <w:pPr>
        <w:pStyle w:val="Body"/>
        <w:keepNext/>
        <w:spacing w:before="200"/>
        <w:rPr>
          <w:b/>
          <w:i/>
          <w:u w:val="single"/>
        </w:rPr>
      </w:pPr>
    </w:p>
    <w:p w14:paraId="70259F8C" w14:textId="14912314"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4D26C533" w14:textId="77777777" w:rsidTr="00680232">
        <w:tc>
          <w:tcPr>
            <w:tcW w:w="295" w:type="dxa"/>
          </w:tcPr>
          <w:p w14:paraId="6E66A34F" w14:textId="77777777" w:rsidR="00272E48" w:rsidRPr="00FA0B5E" w:rsidRDefault="00272E48" w:rsidP="00321EAD">
            <w:pPr>
              <w:pStyle w:val="Names"/>
            </w:pPr>
          </w:p>
        </w:tc>
        <w:tc>
          <w:tcPr>
            <w:tcW w:w="1998" w:type="dxa"/>
          </w:tcPr>
          <w:p w14:paraId="72940BCD" w14:textId="77777777" w:rsidR="00272E48" w:rsidRPr="00FA0B5E" w:rsidRDefault="00272E48" w:rsidP="00321EAD">
            <w:pPr>
              <w:pStyle w:val="Names"/>
            </w:pPr>
            <w:r w:rsidRPr="00FA0B5E">
              <w:t>NAME</w:t>
            </w:r>
          </w:p>
        </w:tc>
        <w:tc>
          <w:tcPr>
            <w:tcW w:w="1980" w:type="dxa"/>
          </w:tcPr>
          <w:p w14:paraId="3495AC49" w14:textId="77777777" w:rsidR="00272E48" w:rsidRPr="00FA0B5E" w:rsidRDefault="00272E48" w:rsidP="007E5384">
            <w:pPr>
              <w:pStyle w:val="Names"/>
            </w:pPr>
          </w:p>
        </w:tc>
        <w:tc>
          <w:tcPr>
            <w:tcW w:w="3870" w:type="dxa"/>
          </w:tcPr>
          <w:p w14:paraId="6CFF4D40" w14:textId="77777777" w:rsidR="00272E48" w:rsidRPr="00FA0B5E" w:rsidRDefault="00272E48" w:rsidP="00321EAD">
            <w:pPr>
              <w:pStyle w:val="Names"/>
            </w:pPr>
            <w:r w:rsidRPr="00FA0B5E">
              <w:t>COMPANY NAME</w:t>
            </w:r>
          </w:p>
        </w:tc>
        <w:tc>
          <w:tcPr>
            <w:tcW w:w="2160" w:type="dxa"/>
          </w:tcPr>
          <w:p w14:paraId="19437D33" w14:textId="77777777" w:rsidR="00272E48" w:rsidRPr="00FA0B5E" w:rsidRDefault="00272E48" w:rsidP="00321EAD">
            <w:pPr>
              <w:pStyle w:val="Names"/>
            </w:pPr>
          </w:p>
        </w:tc>
      </w:tr>
      <w:tr w:rsidR="00272E48" w:rsidRPr="00FA0B5E" w14:paraId="2F7E99DD" w14:textId="77777777" w:rsidTr="00680232">
        <w:tc>
          <w:tcPr>
            <w:tcW w:w="295" w:type="dxa"/>
          </w:tcPr>
          <w:p w14:paraId="63680DCB" w14:textId="77777777" w:rsidR="00272E48" w:rsidRPr="00FA0B5E" w:rsidRDefault="00272E48" w:rsidP="00321EAD">
            <w:pPr>
              <w:pStyle w:val="Names"/>
            </w:pPr>
          </w:p>
        </w:tc>
        <w:tc>
          <w:tcPr>
            <w:tcW w:w="1998" w:type="dxa"/>
          </w:tcPr>
          <w:p w14:paraId="29E5FD8A" w14:textId="77777777" w:rsidR="00272E48" w:rsidRPr="00FA0B5E" w:rsidRDefault="00272E48" w:rsidP="00321EAD">
            <w:pPr>
              <w:pStyle w:val="Names"/>
            </w:pPr>
          </w:p>
        </w:tc>
        <w:tc>
          <w:tcPr>
            <w:tcW w:w="1980" w:type="dxa"/>
          </w:tcPr>
          <w:p w14:paraId="773C53F9" w14:textId="77777777" w:rsidR="00272E48" w:rsidRPr="00FA0B5E" w:rsidRDefault="00272E48" w:rsidP="00321EAD">
            <w:pPr>
              <w:pStyle w:val="Names"/>
            </w:pPr>
          </w:p>
        </w:tc>
        <w:tc>
          <w:tcPr>
            <w:tcW w:w="3870" w:type="dxa"/>
          </w:tcPr>
          <w:p w14:paraId="606E642D" w14:textId="77777777" w:rsidR="00272E48" w:rsidRPr="00FA0B5E" w:rsidRDefault="00272E48" w:rsidP="00321EAD">
            <w:pPr>
              <w:pStyle w:val="Names"/>
            </w:pPr>
          </w:p>
        </w:tc>
        <w:tc>
          <w:tcPr>
            <w:tcW w:w="2160" w:type="dxa"/>
          </w:tcPr>
          <w:p w14:paraId="060601C5" w14:textId="77777777" w:rsidR="00272E48" w:rsidRPr="00FA0B5E" w:rsidRDefault="00272E48" w:rsidP="00321EAD">
            <w:pPr>
              <w:pStyle w:val="Names"/>
            </w:pPr>
          </w:p>
        </w:tc>
      </w:tr>
      <w:tr w:rsidR="00680232" w:rsidRPr="00680232" w14:paraId="65F1F5A8" w14:textId="77777777" w:rsidTr="00680232">
        <w:tblPrEx>
          <w:tblCellMar>
            <w:left w:w="108" w:type="dxa"/>
            <w:right w:w="108" w:type="dxa"/>
          </w:tblCellMar>
        </w:tblPrEx>
        <w:trPr>
          <w:trHeight w:val="255"/>
        </w:trPr>
        <w:tc>
          <w:tcPr>
            <w:tcW w:w="295" w:type="dxa"/>
            <w:noWrap/>
            <w:hideMark/>
          </w:tcPr>
          <w:p w14:paraId="26E18F13"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363A92EF" w14:textId="77777777" w:rsidR="00680232" w:rsidRPr="00680232" w:rsidRDefault="00680232" w:rsidP="00680232">
            <w:pPr>
              <w:rPr>
                <w:rFonts w:eastAsia="Times New Roman" w:cs="Arial"/>
                <w:szCs w:val="20"/>
              </w:rPr>
            </w:pPr>
            <w:r w:rsidRPr="00680232">
              <w:rPr>
                <w:rFonts w:eastAsia="Times New Roman" w:cs="Arial"/>
                <w:szCs w:val="20"/>
              </w:rPr>
              <w:t>Cara</w:t>
            </w:r>
          </w:p>
        </w:tc>
        <w:tc>
          <w:tcPr>
            <w:tcW w:w="1980" w:type="dxa"/>
            <w:noWrap/>
            <w:hideMark/>
          </w:tcPr>
          <w:p w14:paraId="0023BC29" w14:textId="77777777" w:rsidR="00680232" w:rsidRPr="00680232" w:rsidRDefault="00680232" w:rsidP="00680232">
            <w:pPr>
              <w:rPr>
                <w:rFonts w:eastAsia="Times New Roman" w:cs="Arial"/>
                <w:szCs w:val="20"/>
              </w:rPr>
            </w:pPr>
            <w:r w:rsidRPr="00680232">
              <w:rPr>
                <w:rFonts w:eastAsia="Times New Roman" w:cs="Arial"/>
                <w:szCs w:val="20"/>
              </w:rPr>
              <w:t>Burzynski</w:t>
            </w:r>
          </w:p>
        </w:tc>
        <w:tc>
          <w:tcPr>
            <w:tcW w:w="3870" w:type="dxa"/>
            <w:noWrap/>
            <w:hideMark/>
          </w:tcPr>
          <w:p w14:paraId="75F6227E" w14:textId="77777777" w:rsidR="00680232" w:rsidRPr="00680232" w:rsidRDefault="00680232" w:rsidP="00680232">
            <w:pPr>
              <w:rPr>
                <w:rFonts w:eastAsia="Times New Roman" w:cs="Arial"/>
                <w:szCs w:val="20"/>
              </w:rPr>
            </w:pPr>
            <w:r w:rsidRPr="00680232">
              <w:rPr>
                <w:rFonts w:eastAsia="Times New Roman" w:cs="Arial"/>
                <w:szCs w:val="20"/>
              </w:rPr>
              <w:t>AeroDynamics Inc.</w:t>
            </w:r>
          </w:p>
        </w:tc>
        <w:tc>
          <w:tcPr>
            <w:tcW w:w="2160" w:type="dxa"/>
            <w:noWrap/>
          </w:tcPr>
          <w:p w14:paraId="7E96456A" w14:textId="77777777" w:rsidR="00680232" w:rsidRPr="00680232" w:rsidRDefault="00680232" w:rsidP="00680232">
            <w:pPr>
              <w:jc w:val="center"/>
              <w:rPr>
                <w:rFonts w:eastAsia="Times New Roman" w:cs="Arial"/>
                <w:szCs w:val="20"/>
              </w:rPr>
            </w:pPr>
          </w:p>
        </w:tc>
      </w:tr>
      <w:tr w:rsidR="00680232" w:rsidRPr="00680232" w14:paraId="24877BF1" w14:textId="77777777" w:rsidTr="00680232">
        <w:tblPrEx>
          <w:tblCellMar>
            <w:left w:w="108" w:type="dxa"/>
            <w:right w:w="108" w:type="dxa"/>
          </w:tblCellMar>
        </w:tblPrEx>
        <w:trPr>
          <w:trHeight w:val="255"/>
        </w:trPr>
        <w:tc>
          <w:tcPr>
            <w:tcW w:w="295" w:type="dxa"/>
            <w:noWrap/>
            <w:hideMark/>
          </w:tcPr>
          <w:p w14:paraId="0E6A1B81"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17ADE5CE" w14:textId="77777777" w:rsidR="00680232" w:rsidRPr="00680232" w:rsidRDefault="00680232" w:rsidP="00680232">
            <w:pPr>
              <w:rPr>
                <w:rFonts w:eastAsia="Times New Roman" w:cs="Arial"/>
                <w:szCs w:val="20"/>
              </w:rPr>
            </w:pPr>
            <w:r w:rsidRPr="00680232">
              <w:rPr>
                <w:rFonts w:eastAsia="Times New Roman" w:cs="Arial"/>
                <w:szCs w:val="20"/>
              </w:rPr>
              <w:t>Ed</w:t>
            </w:r>
          </w:p>
        </w:tc>
        <w:tc>
          <w:tcPr>
            <w:tcW w:w="1980" w:type="dxa"/>
            <w:noWrap/>
            <w:hideMark/>
          </w:tcPr>
          <w:p w14:paraId="0555BD52" w14:textId="77777777" w:rsidR="00680232" w:rsidRPr="00680232" w:rsidRDefault="00680232" w:rsidP="00680232">
            <w:pPr>
              <w:rPr>
                <w:rFonts w:eastAsia="Times New Roman" w:cs="Arial"/>
                <w:szCs w:val="20"/>
              </w:rPr>
            </w:pPr>
            <w:r w:rsidRPr="00680232">
              <w:rPr>
                <w:rFonts w:eastAsia="Times New Roman" w:cs="Arial"/>
                <w:szCs w:val="20"/>
              </w:rPr>
              <w:t>Engelhard</w:t>
            </w:r>
          </w:p>
        </w:tc>
        <w:tc>
          <w:tcPr>
            <w:tcW w:w="3870" w:type="dxa"/>
            <w:noWrap/>
            <w:hideMark/>
          </w:tcPr>
          <w:p w14:paraId="454CB015" w14:textId="77777777" w:rsidR="00680232" w:rsidRPr="00680232" w:rsidRDefault="00680232" w:rsidP="00680232">
            <w:pPr>
              <w:rPr>
                <w:rFonts w:eastAsia="Times New Roman" w:cs="Arial"/>
                <w:szCs w:val="20"/>
              </w:rPr>
            </w:pPr>
            <w:r w:rsidRPr="00680232">
              <w:rPr>
                <w:rFonts w:eastAsia="Times New Roman" w:cs="Arial"/>
                <w:szCs w:val="20"/>
              </w:rPr>
              <w:t>Solar Atmospheres Inc.</w:t>
            </w:r>
          </w:p>
        </w:tc>
        <w:tc>
          <w:tcPr>
            <w:tcW w:w="2160" w:type="dxa"/>
            <w:noWrap/>
          </w:tcPr>
          <w:p w14:paraId="2A0BDF6F" w14:textId="77777777" w:rsidR="00680232" w:rsidRPr="00680232" w:rsidRDefault="00680232" w:rsidP="00680232">
            <w:pPr>
              <w:jc w:val="center"/>
              <w:rPr>
                <w:rFonts w:eastAsia="Times New Roman" w:cs="Arial"/>
                <w:szCs w:val="20"/>
              </w:rPr>
            </w:pPr>
          </w:p>
        </w:tc>
      </w:tr>
      <w:tr w:rsidR="00680232" w:rsidRPr="00680232" w14:paraId="374EED1D" w14:textId="77777777" w:rsidTr="00680232">
        <w:tblPrEx>
          <w:tblCellMar>
            <w:left w:w="108" w:type="dxa"/>
            <w:right w:w="108" w:type="dxa"/>
          </w:tblCellMar>
        </w:tblPrEx>
        <w:trPr>
          <w:trHeight w:val="255"/>
        </w:trPr>
        <w:tc>
          <w:tcPr>
            <w:tcW w:w="295" w:type="dxa"/>
            <w:noWrap/>
            <w:hideMark/>
          </w:tcPr>
          <w:p w14:paraId="7CAAA57D"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399B9D8D" w14:textId="77777777" w:rsidR="00680232" w:rsidRPr="00680232" w:rsidRDefault="00680232" w:rsidP="00680232">
            <w:pPr>
              <w:rPr>
                <w:rFonts w:eastAsia="Times New Roman" w:cs="Arial"/>
                <w:szCs w:val="20"/>
              </w:rPr>
            </w:pPr>
            <w:r w:rsidRPr="00680232">
              <w:rPr>
                <w:rFonts w:eastAsia="Times New Roman" w:cs="Arial"/>
                <w:szCs w:val="20"/>
              </w:rPr>
              <w:t xml:space="preserve">David </w:t>
            </w:r>
          </w:p>
        </w:tc>
        <w:tc>
          <w:tcPr>
            <w:tcW w:w="1980" w:type="dxa"/>
            <w:noWrap/>
            <w:hideMark/>
          </w:tcPr>
          <w:p w14:paraId="21F80EDA" w14:textId="77777777" w:rsidR="00680232" w:rsidRPr="00680232" w:rsidRDefault="00680232" w:rsidP="00680232">
            <w:pPr>
              <w:rPr>
                <w:rFonts w:eastAsia="Times New Roman" w:cs="Arial"/>
                <w:szCs w:val="20"/>
              </w:rPr>
            </w:pPr>
            <w:r w:rsidRPr="00680232">
              <w:rPr>
                <w:rFonts w:eastAsia="Times New Roman" w:cs="Arial"/>
                <w:szCs w:val="20"/>
              </w:rPr>
              <w:t>Eshleman</w:t>
            </w:r>
          </w:p>
        </w:tc>
        <w:tc>
          <w:tcPr>
            <w:tcW w:w="3870" w:type="dxa"/>
            <w:noWrap/>
            <w:hideMark/>
          </w:tcPr>
          <w:p w14:paraId="445E98DD" w14:textId="77777777" w:rsidR="00680232" w:rsidRPr="00680232" w:rsidRDefault="00680232" w:rsidP="00680232">
            <w:pPr>
              <w:rPr>
                <w:rFonts w:eastAsia="Times New Roman" w:cs="Arial"/>
                <w:szCs w:val="20"/>
              </w:rPr>
            </w:pPr>
            <w:r w:rsidRPr="00680232">
              <w:rPr>
                <w:rFonts w:eastAsia="Times New Roman" w:cs="Arial"/>
                <w:szCs w:val="20"/>
              </w:rPr>
              <w:t>The Young Engineers Inc</w:t>
            </w:r>
          </w:p>
        </w:tc>
        <w:tc>
          <w:tcPr>
            <w:tcW w:w="2160" w:type="dxa"/>
            <w:noWrap/>
          </w:tcPr>
          <w:p w14:paraId="7C1B1DB0" w14:textId="77777777" w:rsidR="00680232" w:rsidRPr="00680232" w:rsidRDefault="00680232" w:rsidP="00680232">
            <w:pPr>
              <w:jc w:val="center"/>
              <w:rPr>
                <w:rFonts w:eastAsia="Times New Roman" w:cs="Arial"/>
                <w:szCs w:val="20"/>
              </w:rPr>
            </w:pPr>
          </w:p>
        </w:tc>
      </w:tr>
      <w:tr w:rsidR="00680232" w:rsidRPr="00680232" w14:paraId="693B3ED6" w14:textId="77777777" w:rsidTr="00680232">
        <w:tblPrEx>
          <w:tblCellMar>
            <w:left w:w="108" w:type="dxa"/>
            <w:right w:w="108" w:type="dxa"/>
          </w:tblCellMar>
        </w:tblPrEx>
        <w:trPr>
          <w:trHeight w:val="255"/>
        </w:trPr>
        <w:tc>
          <w:tcPr>
            <w:tcW w:w="295" w:type="dxa"/>
            <w:noWrap/>
          </w:tcPr>
          <w:p w14:paraId="69EB34E5" w14:textId="77777777" w:rsidR="00680232" w:rsidRPr="00680232" w:rsidRDefault="00680232" w:rsidP="00680232">
            <w:pPr>
              <w:jc w:val="center"/>
              <w:rPr>
                <w:rFonts w:eastAsia="Times New Roman" w:cs="Arial"/>
                <w:szCs w:val="20"/>
              </w:rPr>
            </w:pPr>
          </w:p>
        </w:tc>
        <w:tc>
          <w:tcPr>
            <w:tcW w:w="1998" w:type="dxa"/>
            <w:noWrap/>
          </w:tcPr>
          <w:p w14:paraId="7F591A57" w14:textId="77777777" w:rsidR="00680232" w:rsidRPr="00680232" w:rsidRDefault="00680232" w:rsidP="00680232">
            <w:pPr>
              <w:rPr>
                <w:rFonts w:eastAsia="Times New Roman" w:cs="Arial"/>
                <w:szCs w:val="20"/>
              </w:rPr>
            </w:pPr>
            <w:r w:rsidRPr="00680232">
              <w:rPr>
                <w:rFonts w:eastAsia="Times New Roman" w:cs="Arial"/>
                <w:szCs w:val="20"/>
              </w:rPr>
              <w:t>Johanna</w:t>
            </w:r>
          </w:p>
        </w:tc>
        <w:tc>
          <w:tcPr>
            <w:tcW w:w="1980" w:type="dxa"/>
            <w:noWrap/>
          </w:tcPr>
          <w:p w14:paraId="1854840D" w14:textId="77777777" w:rsidR="00680232" w:rsidRPr="00680232" w:rsidRDefault="00680232" w:rsidP="00680232">
            <w:pPr>
              <w:rPr>
                <w:rFonts w:eastAsia="Times New Roman" w:cs="Arial"/>
                <w:szCs w:val="20"/>
              </w:rPr>
            </w:pPr>
            <w:r w:rsidRPr="00680232">
              <w:rPr>
                <w:rFonts w:eastAsia="Times New Roman" w:cs="Arial"/>
                <w:szCs w:val="20"/>
              </w:rPr>
              <w:t>Lisa</w:t>
            </w:r>
          </w:p>
        </w:tc>
        <w:tc>
          <w:tcPr>
            <w:tcW w:w="3870" w:type="dxa"/>
            <w:noWrap/>
          </w:tcPr>
          <w:p w14:paraId="7D5AB7B7" w14:textId="77777777" w:rsidR="00680232" w:rsidRPr="00680232" w:rsidRDefault="00680232" w:rsidP="00680232">
            <w:pPr>
              <w:rPr>
                <w:rFonts w:eastAsia="Times New Roman" w:cs="Arial"/>
                <w:szCs w:val="20"/>
              </w:rPr>
            </w:pPr>
            <w:r w:rsidRPr="00680232">
              <w:rPr>
                <w:rFonts w:eastAsia="Times New Roman" w:cs="Arial"/>
                <w:szCs w:val="20"/>
              </w:rPr>
              <w:t xml:space="preserve">Continental Heat Treating </w:t>
            </w:r>
          </w:p>
        </w:tc>
        <w:tc>
          <w:tcPr>
            <w:tcW w:w="2160" w:type="dxa"/>
            <w:noWrap/>
          </w:tcPr>
          <w:p w14:paraId="1C46F53F" w14:textId="77777777" w:rsidR="00680232" w:rsidRPr="00680232" w:rsidRDefault="00680232" w:rsidP="00680232">
            <w:pPr>
              <w:jc w:val="center"/>
              <w:rPr>
                <w:rFonts w:eastAsia="Times New Roman" w:cs="Arial"/>
                <w:szCs w:val="20"/>
              </w:rPr>
            </w:pPr>
          </w:p>
        </w:tc>
      </w:tr>
      <w:tr w:rsidR="00680232" w:rsidRPr="00680232" w14:paraId="7DD572D7" w14:textId="77777777" w:rsidTr="00680232">
        <w:tblPrEx>
          <w:tblCellMar>
            <w:left w:w="108" w:type="dxa"/>
            <w:right w:w="108" w:type="dxa"/>
          </w:tblCellMar>
        </w:tblPrEx>
        <w:trPr>
          <w:trHeight w:val="255"/>
        </w:trPr>
        <w:tc>
          <w:tcPr>
            <w:tcW w:w="295" w:type="dxa"/>
            <w:noWrap/>
            <w:hideMark/>
          </w:tcPr>
          <w:p w14:paraId="20E6867D"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46C22EB8" w14:textId="77777777" w:rsidR="00680232" w:rsidRPr="00680232" w:rsidRDefault="00680232" w:rsidP="00680232">
            <w:pPr>
              <w:rPr>
                <w:rFonts w:eastAsia="Times New Roman" w:cs="Arial"/>
                <w:szCs w:val="20"/>
              </w:rPr>
            </w:pPr>
            <w:r w:rsidRPr="00680232">
              <w:rPr>
                <w:rFonts w:eastAsia="Times New Roman" w:cs="Arial"/>
                <w:szCs w:val="20"/>
              </w:rPr>
              <w:t>Lonnie</w:t>
            </w:r>
          </w:p>
        </w:tc>
        <w:tc>
          <w:tcPr>
            <w:tcW w:w="1980" w:type="dxa"/>
            <w:noWrap/>
            <w:hideMark/>
          </w:tcPr>
          <w:p w14:paraId="2287235C" w14:textId="77777777" w:rsidR="00680232" w:rsidRPr="00680232" w:rsidRDefault="00680232" w:rsidP="00680232">
            <w:pPr>
              <w:rPr>
                <w:rFonts w:eastAsia="Times New Roman" w:cs="Arial"/>
                <w:szCs w:val="20"/>
              </w:rPr>
            </w:pPr>
            <w:r w:rsidRPr="00680232">
              <w:rPr>
                <w:rFonts w:eastAsia="Times New Roman" w:cs="Arial"/>
                <w:szCs w:val="20"/>
              </w:rPr>
              <w:t>Naylor</w:t>
            </w:r>
          </w:p>
        </w:tc>
        <w:tc>
          <w:tcPr>
            <w:tcW w:w="3870" w:type="dxa"/>
            <w:noWrap/>
            <w:hideMark/>
          </w:tcPr>
          <w:p w14:paraId="35644415" w14:textId="77777777" w:rsidR="00680232" w:rsidRPr="00680232" w:rsidRDefault="00680232" w:rsidP="00680232">
            <w:pPr>
              <w:rPr>
                <w:rFonts w:eastAsia="Times New Roman" w:cs="Arial"/>
                <w:szCs w:val="20"/>
              </w:rPr>
            </w:pPr>
            <w:r w:rsidRPr="00680232">
              <w:rPr>
                <w:rFonts w:eastAsia="Times New Roman" w:cs="Arial"/>
                <w:szCs w:val="20"/>
              </w:rPr>
              <w:t>Parker Hannifin</w:t>
            </w:r>
          </w:p>
        </w:tc>
        <w:tc>
          <w:tcPr>
            <w:tcW w:w="2160" w:type="dxa"/>
            <w:noWrap/>
          </w:tcPr>
          <w:p w14:paraId="6294B44A" w14:textId="77777777" w:rsidR="00680232" w:rsidRPr="00680232" w:rsidRDefault="00680232" w:rsidP="00680232">
            <w:pPr>
              <w:jc w:val="center"/>
              <w:rPr>
                <w:rFonts w:eastAsia="Times New Roman" w:cs="Arial"/>
                <w:szCs w:val="20"/>
              </w:rPr>
            </w:pPr>
          </w:p>
        </w:tc>
      </w:tr>
      <w:tr w:rsidR="00680232" w:rsidRPr="00680232" w14:paraId="2069DA96" w14:textId="77777777" w:rsidTr="00680232">
        <w:tblPrEx>
          <w:tblCellMar>
            <w:left w:w="108" w:type="dxa"/>
            <w:right w:w="108" w:type="dxa"/>
          </w:tblCellMar>
        </w:tblPrEx>
        <w:trPr>
          <w:trHeight w:val="255"/>
        </w:trPr>
        <w:tc>
          <w:tcPr>
            <w:tcW w:w="295" w:type="dxa"/>
            <w:noWrap/>
            <w:hideMark/>
          </w:tcPr>
          <w:p w14:paraId="00A39AE5" w14:textId="77777777" w:rsidR="00680232" w:rsidRPr="00680232" w:rsidRDefault="00680232" w:rsidP="00680232">
            <w:pPr>
              <w:jc w:val="center"/>
              <w:rPr>
                <w:rFonts w:eastAsia="Times New Roman" w:cs="Arial"/>
                <w:szCs w:val="20"/>
              </w:rPr>
            </w:pPr>
            <w:r w:rsidRPr="00680232">
              <w:rPr>
                <w:rFonts w:eastAsia="Times New Roman" w:cs="Arial"/>
                <w:szCs w:val="20"/>
              </w:rPr>
              <w:lastRenderedPageBreak/>
              <w:t>*</w:t>
            </w:r>
          </w:p>
        </w:tc>
        <w:tc>
          <w:tcPr>
            <w:tcW w:w="1998" w:type="dxa"/>
            <w:noWrap/>
            <w:hideMark/>
          </w:tcPr>
          <w:p w14:paraId="1F79EF2D" w14:textId="77777777" w:rsidR="00680232" w:rsidRPr="00680232" w:rsidRDefault="00680232" w:rsidP="00680232">
            <w:pPr>
              <w:rPr>
                <w:rFonts w:eastAsia="Times New Roman" w:cs="Arial"/>
                <w:szCs w:val="20"/>
              </w:rPr>
            </w:pPr>
            <w:r w:rsidRPr="00680232">
              <w:rPr>
                <w:rFonts w:eastAsia="Times New Roman" w:cs="Arial"/>
                <w:szCs w:val="20"/>
              </w:rPr>
              <w:t xml:space="preserve">Ken </w:t>
            </w:r>
          </w:p>
        </w:tc>
        <w:tc>
          <w:tcPr>
            <w:tcW w:w="1980" w:type="dxa"/>
            <w:noWrap/>
            <w:hideMark/>
          </w:tcPr>
          <w:p w14:paraId="23D95CBB" w14:textId="77777777" w:rsidR="00680232" w:rsidRPr="00680232" w:rsidRDefault="00680232" w:rsidP="00680232">
            <w:pPr>
              <w:rPr>
                <w:rFonts w:eastAsia="Times New Roman" w:cs="Arial"/>
                <w:szCs w:val="20"/>
              </w:rPr>
            </w:pPr>
            <w:r w:rsidRPr="00680232">
              <w:rPr>
                <w:rFonts w:eastAsia="Times New Roman" w:cs="Arial"/>
                <w:szCs w:val="20"/>
              </w:rPr>
              <w:t>Nelson</w:t>
            </w:r>
          </w:p>
        </w:tc>
        <w:tc>
          <w:tcPr>
            <w:tcW w:w="3870" w:type="dxa"/>
            <w:noWrap/>
            <w:hideMark/>
          </w:tcPr>
          <w:p w14:paraId="64C72692" w14:textId="77777777" w:rsidR="00680232" w:rsidRPr="00680232" w:rsidRDefault="00680232" w:rsidP="00680232">
            <w:pPr>
              <w:rPr>
                <w:rFonts w:eastAsia="Times New Roman" w:cs="Arial"/>
                <w:szCs w:val="20"/>
              </w:rPr>
            </w:pPr>
            <w:r w:rsidRPr="00680232">
              <w:rPr>
                <w:rFonts w:eastAsia="Times New Roman" w:cs="Arial"/>
                <w:szCs w:val="20"/>
              </w:rPr>
              <w:t>Continental Heat Treating</w:t>
            </w:r>
          </w:p>
        </w:tc>
        <w:tc>
          <w:tcPr>
            <w:tcW w:w="2160" w:type="dxa"/>
            <w:noWrap/>
          </w:tcPr>
          <w:p w14:paraId="471F8CD0" w14:textId="77777777" w:rsidR="00680232" w:rsidRPr="00680232" w:rsidRDefault="00680232" w:rsidP="00680232">
            <w:pPr>
              <w:jc w:val="center"/>
              <w:rPr>
                <w:rFonts w:eastAsia="Times New Roman" w:cs="Arial"/>
                <w:szCs w:val="20"/>
              </w:rPr>
            </w:pPr>
          </w:p>
        </w:tc>
      </w:tr>
      <w:tr w:rsidR="00680232" w:rsidRPr="00680232" w14:paraId="39B6D724" w14:textId="77777777" w:rsidTr="00680232">
        <w:tblPrEx>
          <w:tblCellMar>
            <w:left w:w="108" w:type="dxa"/>
            <w:right w:w="108" w:type="dxa"/>
          </w:tblCellMar>
        </w:tblPrEx>
        <w:trPr>
          <w:trHeight w:val="255"/>
        </w:trPr>
        <w:tc>
          <w:tcPr>
            <w:tcW w:w="295" w:type="dxa"/>
            <w:noWrap/>
            <w:hideMark/>
          </w:tcPr>
          <w:p w14:paraId="17F369DC"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7030EDB1" w14:textId="77777777" w:rsidR="00680232" w:rsidRPr="00680232" w:rsidRDefault="00680232" w:rsidP="00680232">
            <w:pPr>
              <w:rPr>
                <w:rFonts w:eastAsia="Times New Roman" w:cs="Arial"/>
                <w:szCs w:val="20"/>
              </w:rPr>
            </w:pPr>
            <w:r w:rsidRPr="00680232">
              <w:rPr>
                <w:rFonts w:eastAsia="Times New Roman" w:cs="Arial"/>
                <w:szCs w:val="20"/>
              </w:rPr>
              <w:t>Bryan</w:t>
            </w:r>
          </w:p>
        </w:tc>
        <w:tc>
          <w:tcPr>
            <w:tcW w:w="1980" w:type="dxa"/>
            <w:noWrap/>
            <w:hideMark/>
          </w:tcPr>
          <w:p w14:paraId="201B982A" w14:textId="77777777" w:rsidR="00680232" w:rsidRPr="00680232" w:rsidRDefault="00680232" w:rsidP="00680232">
            <w:pPr>
              <w:rPr>
                <w:rFonts w:eastAsia="Times New Roman" w:cs="Arial"/>
                <w:szCs w:val="20"/>
              </w:rPr>
            </w:pPr>
            <w:r w:rsidRPr="00680232">
              <w:rPr>
                <w:rFonts w:eastAsia="Times New Roman" w:cs="Arial"/>
                <w:szCs w:val="20"/>
              </w:rPr>
              <w:t>Pedrotti</w:t>
            </w:r>
          </w:p>
        </w:tc>
        <w:tc>
          <w:tcPr>
            <w:tcW w:w="3870" w:type="dxa"/>
            <w:noWrap/>
            <w:hideMark/>
          </w:tcPr>
          <w:p w14:paraId="5DA93648" w14:textId="77777777" w:rsidR="00680232" w:rsidRPr="00680232" w:rsidRDefault="00680232" w:rsidP="00680232">
            <w:pPr>
              <w:rPr>
                <w:rFonts w:eastAsia="Times New Roman" w:cs="Arial"/>
                <w:szCs w:val="20"/>
              </w:rPr>
            </w:pPr>
            <w:r w:rsidRPr="00680232">
              <w:rPr>
                <w:rFonts w:eastAsia="Times New Roman" w:cs="Arial"/>
                <w:szCs w:val="20"/>
              </w:rPr>
              <w:t>Wyman Gordon Forgings - Houston</w:t>
            </w:r>
          </w:p>
        </w:tc>
        <w:tc>
          <w:tcPr>
            <w:tcW w:w="2160" w:type="dxa"/>
            <w:noWrap/>
          </w:tcPr>
          <w:p w14:paraId="3F945CBF" w14:textId="77777777" w:rsidR="00680232" w:rsidRPr="00680232" w:rsidRDefault="00680232" w:rsidP="00680232">
            <w:pPr>
              <w:jc w:val="center"/>
              <w:rPr>
                <w:rFonts w:eastAsia="Times New Roman" w:cs="Arial"/>
                <w:szCs w:val="20"/>
              </w:rPr>
            </w:pPr>
          </w:p>
        </w:tc>
      </w:tr>
      <w:tr w:rsidR="00680232" w:rsidRPr="00680232" w14:paraId="54D36DDF" w14:textId="77777777" w:rsidTr="00680232">
        <w:tblPrEx>
          <w:tblCellMar>
            <w:left w:w="108" w:type="dxa"/>
            <w:right w:w="108" w:type="dxa"/>
          </w:tblCellMar>
        </w:tblPrEx>
        <w:trPr>
          <w:trHeight w:val="255"/>
        </w:trPr>
        <w:tc>
          <w:tcPr>
            <w:tcW w:w="295" w:type="dxa"/>
            <w:noWrap/>
            <w:hideMark/>
          </w:tcPr>
          <w:p w14:paraId="36684C0E"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5A3A95F8" w14:textId="77777777" w:rsidR="00680232" w:rsidRPr="00680232" w:rsidRDefault="00680232" w:rsidP="00680232">
            <w:pPr>
              <w:rPr>
                <w:rFonts w:eastAsia="Times New Roman" w:cs="Arial"/>
                <w:szCs w:val="20"/>
              </w:rPr>
            </w:pPr>
            <w:r w:rsidRPr="00680232">
              <w:rPr>
                <w:rFonts w:eastAsia="Times New Roman" w:cs="Arial"/>
                <w:szCs w:val="20"/>
              </w:rPr>
              <w:t>John</w:t>
            </w:r>
          </w:p>
        </w:tc>
        <w:tc>
          <w:tcPr>
            <w:tcW w:w="1980" w:type="dxa"/>
            <w:noWrap/>
            <w:hideMark/>
          </w:tcPr>
          <w:p w14:paraId="14981F9E" w14:textId="77777777" w:rsidR="00680232" w:rsidRPr="00680232" w:rsidRDefault="00680232" w:rsidP="00680232">
            <w:pPr>
              <w:rPr>
                <w:rFonts w:eastAsia="Times New Roman" w:cs="Arial"/>
                <w:szCs w:val="20"/>
              </w:rPr>
            </w:pPr>
            <w:r w:rsidRPr="00680232">
              <w:rPr>
                <w:rFonts w:eastAsia="Times New Roman" w:cs="Arial"/>
                <w:szCs w:val="20"/>
              </w:rPr>
              <w:t>Robbins</w:t>
            </w:r>
          </w:p>
        </w:tc>
        <w:tc>
          <w:tcPr>
            <w:tcW w:w="3870" w:type="dxa"/>
            <w:noWrap/>
            <w:hideMark/>
          </w:tcPr>
          <w:p w14:paraId="2B019FAE" w14:textId="77777777" w:rsidR="00680232" w:rsidRPr="00680232" w:rsidRDefault="00680232" w:rsidP="00680232">
            <w:pPr>
              <w:rPr>
                <w:rFonts w:eastAsia="Times New Roman" w:cs="Arial"/>
                <w:szCs w:val="20"/>
              </w:rPr>
            </w:pPr>
            <w:r w:rsidRPr="00680232">
              <w:rPr>
                <w:rFonts w:eastAsia="Times New Roman" w:cs="Arial"/>
                <w:szCs w:val="20"/>
              </w:rPr>
              <w:t>Hillock Anodizing, Inc.</w:t>
            </w:r>
          </w:p>
        </w:tc>
        <w:tc>
          <w:tcPr>
            <w:tcW w:w="2160" w:type="dxa"/>
            <w:noWrap/>
          </w:tcPr>
          <w:p w14:paraId="7857A149" w14:textId="77777777" w:rsidR="00680232" w:rsidRPr="00680232" w:rsidRDefault="00680232" w:rsidP="00680232">
            <w:pPr>
              <w:jc w:val="center"/>
              <w:rPr>
                <w:rFonts w:eastAsia="Times New Roman" w:cs="Arial"/>
                <w:szCs w:val="20"/>
              </w:rPr>
            </w:pPr>
          </w:p>
        </w:tc>
      </w:tr>
      <w:tr w:rsidR="00680232" w:rsidRPr="00680232" w14:paraId="694BD29A" w14:textId="77777777" w:rsidTr="00680232">
        <w:tblPrEx>
          <w:tblCellMar>
            <w:left w:w="108" w:type="dxa"/>
            <w:right w:w="108" w:type="dxa"/>
          </w:tblCellMar>
        </w:tblPrEx>
        <w:trPr>
          <w:trHeight w:val="255"/>
        </w:trPr>
        <w:tc>
          <w:tcPr>
            <w:tcW w:w="295" w:type="dxa"/>
            <w:noWrap/>
            <w:hideMark/>
          </w:tcPr>
          <w:p w14:paraId="4E2AE3B2" w14:textId="77777777" w:rsidR="00680232" w:rsidRPr="00680232" w:rsidRDefault="00680232" w:rsidP="00680232">
            <w:pPr>
              <w:jc w:val="center"/>
              <w:rPr>
                <w:rFonts w:eastAsia="Times New Roman" w:cs="Arial"/>
                <w:szCs w:val="20"/>
              </w:rPr>
            </w:pPr>
            <w:r w:rsidRPr="00680232">
              <w:rPr>
                <w:rFonts w:eastAsia="Times New Roman" w:cs="Arial"/>
                <w:szCs w:val="20"/>
              </w:rPr>
              <w:t> </w:t>
            </w:r>
          </w:p>
        </w:tc>
        <w:tc>
          <w:tcPr>
            <w:tcW w:w="1998" w:type="dxa"/>
            <w:noWrap/>
            <w:hideMark/>
          </w:tcPr>
          <w:p w14:paraId="5E6DFBC7" w14:textId="77777777" w:rsidR="00680232" w:rsidRPr="00680232" w:rsidRDefault="00680232" w:rsidP="00680232">
            <w:pPr>
              <w:rPr>
                <w:rFonts w:eastAsia="Times New Roman" w:cs="Arial"/>
                <w:szCs w:val="20"/>
              </w:rPr>
            </w:pPr>
            <w:r w:rsidRPr="00680232">
              <w:rPr>
                <w:rFonts w:eastAsia="Times New Roman" w:cs="Arial"/>
                <w:szCs w:val="20"/>
              </w:rPr>
              <w:t>Jon</w:t>
            </w:r>
          </w:p>
        </w:tc>
        <w:tc>
          <w:tcPr>
            <w:tcW w:w="1980" w:type="dxa"/>
            <w:noWrap/>
            <w:hideMark/>
          </w:tcPr>
          <w:p w14:paraId="3C60F283" w14:textId="77777777" w:rsidR="00680232" w:rsidRPr="00680232" w:rsidRDefault="00680232" w:rsidP="00680232">
            <w:pPr>
              <w:rPr>
                <w:rFonts w:eastAsia="Times New Roman" w:cs="Arial"/>
                <w:szCs w:val="20"/>
              </w:rPr>
            </w:pPr>
            <w:r w:rsidRPr="00680232">
              <w:rPr>
                <w:rFonts w:eastAsia="Times New Roman" w:cs="Arial"/>
                <w:szCs w:val="20"/>
              </w:rPr>
              <w:t>Thomas</w:t>
            </w:r>
          </w:p>
        </w:tc>
        <w:tc>
          <w:tcPr>
            <w:tcW w:w="3870" w:type="dxa"/>
            <w:noWrap/>
            <w:hideMark/>
          </w:tcPr>
          <w:p w14:paraId="6E4450AC" w14:textId="77777777" w:rsidR="00680232" w:rsidRPr="00680232" w:rsidRDefault="00680232" w:rsidP="00680232">
            <w:pPr>
              <w:rPr>
                <w:rFonts w:eastAsia="Times New Roman" w:cs="Arial"/>
                <w:szCs w:val="20"/>
              </w:rPr>
            </w:pPr>
            <w:proofErr w:type="spellStart"/>
            <w:r w:rsidRPr="00680232">
              <w:rPr>
                <w:rFonts w:eastAsia="Times New Roman" w:cs="Arial"/>
                <w:szCs w:val="20"/>
              </w:rPr>
              <w:t>Orizon</w:t>
            </w:r>
            <w:proofErr w:type="spellEnd"/>
          </w:p>
        </w:tc>
        <w:tc>
          <w:tcPr>
            <w:tcW w:w="2160" w:type="dxa"/>
            <w:noWrap/>
          </w:tcPr>
          <w:p w14:paraId="4DD7C275" w14:textId="77777777" w:rsidR="00680232" w:rsidRPr="00680232" w:rsidRDefault="00680232" w:rsidP="00680232">
            <w:pPr>
              <w:jc w:val="center"/>
              <w:rPr>
                <w:rFonts w:eastAsia="Times New Roman" w:cs="Arial"/>
                <w:szCs w:val="20"/>
              </w:rPr>
            </w:pPr>
          </w:p>
        </w:tc>
      </w:tr>
      <w:tr w:rsidR="00680232" w:rsidRPr="00680232" w14:paraId="307178C3" w14:textId="77777777" w:rsidTr="00680232">
        <w:tblPrEx>
          <w:tblCellMar>
            <w:left w:w="108" w:type="dxa"/>
            <w:right w:w="108" w:type="dxa"/>
          </w:tblCellMar>
        </w:tblPrEx>
        <w:trPr>
          <w:trHeight w:val="255"/>
        </w:trPr>
        <w:tc>
          <w:tcPr>
            <w:tcW w:w="295" w:type="dxa"/>
            <w:noWrap/>
            <w:hideMark/>
          </w:tcPr>
          <w:p w14:paraId="1CDB3E75" w14:textId="77777777" w:rsidR="00680232" w:rsidRPr="00680232" w:rsidRDefault="00680232" w:rsidP="00680232">
            <w:pPr>
              <w:jc w:val="center"/>
              <w:rPr>
                <w:rFonts w:eastAsia="Times New Roman" w:cs="Arial"/>
                <w:szCs w:val="20"/>
              </w:rPr>
            </w:pPr>
            <w:r w:rsidRPr="00680232">
              <w:rPr>
                <w:rFonts w:eastAsia="Times New Roman" w:cs="Arial"/>
                <w:szCs w:val="20"/>
              </w:rPr>
              <w:t>*</w:t>
            </w:r>
          </w:p>
        </w:tc>
        <w:tc>
          <w:tcPr>
            <w:tcW w:w="1998" w:type="dxa"/>
            <w:noWrap/>
            <w:hideMark/>
          </w:tcPr>
          <w:p w14:paraId="21F7C02F" w14:textId="77777777" w:rsidR="00680232" w:rsidRPr="00680232" w:rsidRDefault="00680232" w:rsidP="00680232">
            <w:pPr>
              <w:rPr>
                <w:rFonts w:eastAsia="Times New Roman" w:cs="Arial"/>
                <w:szCs w:val="20"/>
              </w:rPr>
            </w:pPr>
            <w:r w:rsidRPr="00680232">
              <w:rPr>
                <w:rFonts w:eastAsia="Times New Roman" w:cs="Arial"/>
                <w:szCs w:val="20"/>
              </w:rPr>
              <w:t xml:space="preserve">Jim </w:t>
            </w:r>
          </w:p>
        </w:tc>
        <w:tc>
          <w:tcPr>
            <w:tcW w:w="1980" w:type="dxa"/>
            <w:noWrap/>
            <w:hideMark/>
          </w:tcPr>
          <w:p w14:paraId="38948EF6" w14:textId="77777777" w:rsidR="00680232" w:rsidRPr="00680232" w:rsidRDefault="00680232" w:rsidP="00680232">
            <w:pPr>
              <w:rPr>
                <w:rFonts w:eastAsia="Times New Roman" w:cs="Arial"/>
                <w:szCs w:val="20"/>
              </w:rPr>
            </w:pPr>
            <w:r w:rsidRPr="00680232">
              <w:rPr>
                <w:rFonts w:eastAsia="Times New Roman" w:cs="Arial"/>
                <w:szCs w:val="20"/>
              </w:rPr>
              <w:t>Tuminello</w:t>
            </w:r>
          </w:p>
        </w:tc>
        <w:tc>
          <w:tcPr>
            <w:tcW w:w="3870" w:type="dxa"/>
            <w:noWrap/>
            <w:hideMark/>
          </w:tcPr>
          <w:p w14:paraId="363D3C93" w14:textId="77777777" w:rsidR="00680232" w:rsidRPr="00680232" w:rsidRDefault="00680232" w:rsidP="00680232">
            <w:pPr>
              <w:rPr>
                <w:rFonts w:eastAsia="Times New Roman" w:cs="Arial"/>
                <w:szCs w:val="20"/>
              </w:rPr>
            </w:pPr>
            <w:r w:rsidRPr="00680232">
              <w:rPr>
                <w:rFonts w:eastAsia="Times New Roman" w:cs="Arial"/>
                <w:szCs w:val="20"/>
              </w:rPr>
              <w:t>Tech Met Inc.</w:t>
            </w:r>
          </w:p>
        </w:tc>
        <w:tc>
          <w:tcPr>
            <w:tcW w:w="2160" w:type="dxa"/>
            <w:noWrap/>
          </w:tcPr>
          <w:p w14:paraId="664998A2" w14:textId="77777777" w:rsidR="00680232" w:rsidRPr="00680232" w:rsidRDefault="00680232" w:rsidP="00680232">
            <w:pPr>
              <w:jc w:val="center"/>
              <w:rPr>
                <w:rFonts w:eastAsia="Times New Roman" w:cs="Arial"/>
                <w:szCs w:val="20"/>
              </w:rPr>
            </w:pPr>
          </w:p>
        </w:tc>
      </w:tr>
    </w:tbl>
    <w:p w14:paraId="5D8EAA1E" w14:textId="77777777" w:rsidR="00A61353" w:rsidRDefault="00A61353" w:rsidP="00FC3F1E">
      <w:pPr>
        <w:pStyle w:val="Body"/>
        <w:keepNext/>
        <w:spacing w:before="200"/>
        <w:rPr>
          <w:b/>
          <w:i/>
          <w:u w:val="single"/>
        </w:rPr>
      </w:pPr>
    </w:p>
    <w:p w14:paraId="0C3298A0" w14:textId="1EC74429"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63150021" w14:textId="77777777" w:rsidTr="00E51455">
        <w:tc>
          <w:tcPr>
            <w:tcW w:w="2005" w:type="dxa"/>
          </w:tcPr>
          <w:p w14:paraId="0C15E60E" w14:textId="77777777" w:rsidR="00E51455" w:rsidRPr="00FA0B5E" w:rsidRDefault="00545F8B" w:rsidP="00EB178A">
            <w:pPr>
              <w:pStyle w:val="Names"/>
            </w:pPr>
            <w:r>
              <w:t>Ethan</w:t>
            </w:r>
          </w:p>
        </w:tc>
        <w:tc>
          <w:tcPr>
            <w:tcW w:w="1980" w:type="dxa"/>
          </w:tcPr>
          <w:p w14:paraId="3F2755D7" w14:textId="77777777" w:rsidR="00E51455" w:rsidRPr="00FA0B5E" w:rsidRDefault="00545F8B" w:rsidP="00EB178A">
            <w:pPr>
              <w:pStyle w:val="Names"/>
            </w:pPr>
            <w:r>
              <w:t>Akins</w:t>
            </w:r>
          </w:p>
        </w:tc>
      </w:tr>
      <w:tr w:rsidR="00545F8B" w:rsidRPr="00FA0B5E" w14:paraId="7D502E03" w14:textId="77777777" w:rsidTr="00E51455">
        <w:tc>
          <w:tcPr>
            <w:tcW w:w="2005" w:type="dxa"/>
          </w:tcPr>
          <w:p w14:paraId="37B2E8D3" w14:textId="77777777" w:rsidR="00545F8B" w:rsidRPr="00FA0B5E" w:rsidRDefault="00545F8B" w:rsidP="00545F8B">
            <w:pPr>
              <w:pStyle w:val="Names"/>
            </w:pPr>
            <w:r w:rsidRPr="00FA0B5E">
              <w:t>Mark</w:t>
            </w:r>
          </w:p>
        </w:tc>
        <w:tc>
          <w:tcPr>
            <w:tcW w:w="1980" w:type="dxa"/>
          </w:tcPr>
          <w:p w14:paraId="659AC3A3" w14:textId="77777777" w:rsidR="00545F8B" w:rsidRPr="00FA0B5E" w:rsidRDefault="00545F8B" w:rsidP="00545F8B">
            <w:pPr>
              <w:pStyle w:val="Names"/>
            </w:pPr>
            <w:r w:rsidRPr="00FA0B5E">
              <w:t>Aubele</w:t>
            </w:r>
          </w:p>
        </w:tc>
      </w:tr>
      <w:tr w:rsidR="00E51455" w:rsidRPr="00FA0B5E" w14:paraId="0C445CF0" w14:textId="77777777" w:rsidTr="00E51455">
        <w:tc>
          <w:tcPr>
            <w:tcW w:w="2005" w:type="dxa"/>
          </w:tcPr>
          <w:p w14:paraId="08021537" w14:textId="77777777" w:rsidR="00E51455" w:rsidRPr="00FA0B5E" w:rsidRDefault="00545F8B" w:rsidP="00EB178A">
            <w:pPr>
              <w:pStyle w:val="Names"/>
            </w:pPr>
            <w:r>
              <w:t>Susan</w:t>
            </w:r>
          </w:p>
        </w:tc>
        <w:tc>
          <w:tcPr>
            <w:tcW w:w="1980" w:type="dxa"/>
          </w:tcPr>
          <w:p w14:paraId="52F496A7" w14:textId="77777777" w:rsidR="00E51455" w:rsidRPr="00FA0B5E" w:rsidRDefault="00545F8B" w:rsidP="00EB178A">
            <w:pPr>
              <w:pStyle w:val="Names"/>
            </w:pPr>
            <w:r>
              <w:t>Frailey</w:t>
            </w:r>
          </w:p>
        </w:tc>
      </w:tr>
    </w:tbl>
    <w:p w14:paraId="35AE159D" w14:textId="77777777" w:rsidR="00E60AEA" w:rsidRDefault="00E60AEA" w:rsidP="001A1215">
      <w:pPr>
        <w:pStyle w:val="Body"/>
      </w:pPr>
    </w:p>
    <w:p w14:paraId="72800B3D" w14:textId="77777777" w:rsidR="00FA0B5E" w:rsidRDefault="00E60AEA" w:rsidP="00FA0B5E">
      <w:pPr>
        <w:pStyle w:val="Heading1"/>
      </w:pPr>
      <w:r w:rsidRPr="00E60AEA">
        <w:t>Review</w:t>
      </w:r>
      <w:r>
        <w:t xml:space="preserve"> </w:t>
      </w:r>
      <w:r w:rsidRPr="00E60AEA">
        <w:t>/</w:t>
      </w:r>
      <w:r>
        <w:t xml:space="preserve"> </w:t>
      </w:r>
      <w:r w:rsidRPr="00E60AEA">
        <w:t>Accept</w:t>
      </w:r>
      <w:r>
        <w:t xml:space="preserve"> </w:t>
      </w:r>
      <w:r w:rsidR="00FA0B5E">
        <w:t>–</w:t>
      </w:r>
      <w:r>
        <w:t xml:space="preserve"> OPEN</w:t>
      </w:r>
    </w:p>
    <w:p w14:paraId="353C0FE2" w14:textId="77777777" w:rsidR="005B213D" w:rsidRDefault="005B213D" w:rsidP="005B213D">
      <w:pPr>
        <w:pStyle w:val="Heading2"/>
      </w:pPr>
      <w:r>
        <w:t xml:space="preserve">Agenda </w:t>
      </w:r>
    </w:p>
    <w:p w14:paraId="5C3A1A28" w14:textId="77777777" w:rsidR="005B213D" w:rsidRPr="005B213D" w:rsidRDefault="005B213D" w:rsidP="005B213D">
      <w:pPr>
        <w:pStyle w:val="Body"/>
      </w:pPr>
      <w:r>
        <w:t>The Agenda was reviewed.</w:t>
      </w:r>
    </w:p>
    <w:p w14:paraId="3C0A4E31" w14:textId="77777777" w:rsidR="005B213D" w:rsidRDefault="005B213D" w:rsidP="005B213D">
      <w:pPr>
        <w:pStyle w:val="Heading2"/>
      </w:pPr>
      <w:r>
        <w:t>Approval of Previous Meeting Minutes</w:t>
      </w:r>
    </w:p>
    <w:p w14:paraId="72668996" w14:textId="77777777" w:rsidR="005B213D" w:rsidRDefault="005B213D" w:rsidP="005B213D">
      <w:pPr>
        <w:pStyle w:val="Heading2"/>
        <w:numPr>
          <w:ilvl w:val="0"/>
          <w:numId w:val="0"/>
        </w:numPr>
        <w:ind w:left="720"/>
      </w:pPr>
      <w:r>
        <w:t xml:space="preserve">The minutes from October 26-27, 2016 were reviewed. </w:t>
      </w:r>
    </w:p>
    <w:p w14:paraId="62B92CE3" w14:textId="77777777" w:rsidR="00FA0B5E" w:rsidRDefault="005B213D" w:rsidP="005B213D">
      <w:pPr>
        <w:pStyle w:val="Heading2"/>
        <w:numPr>
          <w:ilvl w:val="0"/>
          <w:numId w:val="0"/>
        </w:numPr>
        <w:ind w:left="720"/>
      </w:pPr>
      <w:r>
        <w:t>Motion made by Angelina Mendoza and seconded by Patricia Wesemann to approve the October 2016 meeting minutes as written.  Motion Passed</w:t>
      </w:r>
    </w:p>
    <w:p w14:paraId="74FBE1CB" w14:textId="77777777" w:rsidR="005B213D" w:rsidRDefault="005B213D" w:rsidP="005B213D">
      <w:pPr>
        <w:pStyle w:val="Heading2"/>
      </w:pPr>
      <w:r>
        <w:t>Succession Plan</w:t>
      </w:r>
    </w:p>
    <w:p w14:paraId="7E122712" w14:textId="3F6DB564" w:rsidR="005B213D" w:rsidRDefault="005B213D" w:rsidP="005B213D">
      <w:pPr>
        <w:pStyle w:val="Body"/>
      </w:pPr>
      <w:r>
        <w:t>The Subscriber members of the AQS Task Group were told to start t</w:t>
      </w:r>
      <w:r w:rsidR="002A7A65">
        <w:t xml:space="preserve">hinking about possible </w:t>
      </w:r>
      <w:r w:rsidR="00337E90">
        <w:t>l</w:t>
      </w:r>
      <w:r w:rsidR="002A7A65">
        <w:t xml:space="preserve">eadership positions for 2018.  This topic will continue to be discussed in future meetings to ensure that </w:t>
      </w:r>
      <w:r w:rsidR="00337E90">
        <w:t>l</w:t>
      </w:r>
      <w:r w:rsidR="002A7A65">
        <w:t>eadership positions remain filled.</w:t>
      </w:r>
    </w:p>
    <w:p w14:paraId="1971E756" w14:textId="77777777" w:rsidR="002A7A65" w:rsidRDefault="002A7A65" w:rsidP="002A7A65">
      <w:pPr>
        <w:pStyle w:val="Heading2"/>
      </w:pPr>
      <w:r>
        <w:t>Call for New Business</w:t>
      </w:r>
    </w:p>
    <w:p w14:paraId="41C48337" w14:textId="77777777" w:rsidR="002A7A65" w:rsidRPr="002A7A65" w:rsidRDefault="002A7A65" w:rsidP="002A7A65">
      <w:pPr>
        <w:pStyle w:val="Body"/>
      </w:pPr>
      <w:r>
        <w:t>See section 18.0.</w:t>
      </w:r>
    </w:p>
    <w:p w14:paraId="2AEABEEE" w14:textId="77777777" w:rsidR="00E60AEA" w:rsidRDefault="00E60AEA" w:rsidP="00E60AEA">
      <w:pPr>
        <w:pStyle w:val="Heading1"/>
      </w:pPr>
      <w:bookmarkStart w:id="1" w:name="_Toc466455081"/>
      <w:bookmarkStart w:id="2" w:name="_Toc466455193"/>
      <w:bookmarkStart w:id="3" w:name="_Toc471218650"/>
      <w:bookmarkStart w:id="4" w:name="_Toc471218976"/>
      <w:bookmarkStart w:id="5" w:name="_Toc471219187"/>
      <w:bookmarkStart w:id="6" w:name="_Toc471220455"/>
      <w:bookmarkStart w:id="7" w:name="_Toc466454979"/>
      <w:r w:rsidRPr="00440AF5">
        <w:t>AQS Task Group Tutorial</w:t>
      </w:r>
      <w:bookmarkStart w:id="8" w:name="_Toc350939878"/>
      <w:bookmarkStart w:id="9" w:name="_Toc350939993"/>
      <w:bookmarkStart w:id="10" w:name="_Toc350940216"/>
      <w:bookmarkStart w:id="11" w:name="_Toc350940792"/>
      <w:bookmarkStart w:id="12" w:name="_Toc350940935"/>
      <w:bookmarkStart w:id="13" w:name="_Toc350941282"/>
      <w:bookmarkStart w:id="14" w:name="_Toc350941410"/>
      <w:bookmarkEnd w:id="1"/>
      <w:bookmarkEnd w:id="2"/>
      <w:bookmarkEnd w:id="3"/>
      <w:bookmarkEnd w:id="4"/>
      <w:bookmarkEnd w:id="5"/>
      <w:bookmarkEnd w:id="6"/>
      <w:bookmarkEnd w:id="7"/>
      <w:r w:rsidRPr="00440AF5">
        <w:t xml:space="preserve"> </w:t>
      </w:r>
      <w:bookmarkEnd w:id="8"/>
      <w:bookmarkEnd w:id="9"/>
      <w:bookmarkEnd w:id="10"/>
      <w:bookmarkEnd w:id="11"/>
      <w:bookmarkEnd w:id="12"/>
      <w:bookmarkEnd w:id="13"/>
      <w:bookmarkEnd w:id="14"/>
      <w:r>
        <w:t>– OPEN</w:t>
      </w:r>
    </w:p>
    <w:p w14:paraId="0AAB8429" w14:textId="77777777" w:rsidR="005D4E4C" w:rsidRDefault="005D4E4C" w:rsidP="005D4E4C">
      <w:pPr>
        <w:pStyle w:val="ActionItem"/>
        <w:ind w:left="720"/>
        <w:rPr>
          <w:b w:val="0"/>
          <w:i w:val="0"/>
        </w:rPr>
      </w:pPr>
      <w:r w:rsidRPr="005D4E4C">
        <w:rPr>
          <w:b w:val="0"/>
          <w:i w:val="0"/>
        </w:rPr>
        <w:t xml:space="preserve">Scott O’Connor and Susan Frailey covered the Task Group Tutorial for the benefit of the </w:t>
      </w:r>
      <w:r w:rsidR="002A7A65" w:rsidRPr="005D4E4C">
        <w:rPr>
          <w:b w:val="0"/>
          <w:i w:val="0"/>
        </w:rPr>
        <w:t>first-time</w:t>
      </w:r>
      <w:r w:rsidRPr="005D4E4C">
        <w:rPr>
          <w:b w:val="0"/>
          <w:i w:val="0"/>
        </w:rPr>
        <w:t xml:space="preserve"> attendees.</w:t>
      </w:r>
    </w:p>
    <w:p w14:paraId="70F9C83F" w14:textId="77777777" w:rsidR="00114717" w:rsidRPr="00114717" w:rsidRDefault="00BE709F" w:rsidP="00114717">
      <w:pPr>
        <w:pStyle w:val="Heading1"/>
      </w:pPr>
      <w:r w:rsidRPr="009610A4">
        <w:t xml:space="preserve">VOTING MEMBER </w:t>
      </w:r>
      <w:r w:rsidR="00111291">
        <w:t>updates</w:t>
      </w:r>
      <w:r w:rsidRPr="009610A4">
        <w:t xml:space="preserve"> &amp; COMPLIANCE WITH VOTING REQUIREMENTS</w:t>
      </w:r>
      <w:r w:rsidR="00114717" w:rsidRPr="00114717">
        <w:t xml:space="preserve"> </w:t>
      </w:r>
      <w:r w:rsidR="00E60AEA">
        <w:t>- OPEN</w:t>
      </w:r>
    </w:p>
    <w:p w14:paraId="3984114C" w14:textId="77777777" w:rsidR="00BE709F" w:rsidRDefault="00BE709F" w:rsidP="00BE709F">
      <w:pPr>
        <w:ind w:left="720"/>
      </w:pPr>
      <w:r w:rsidRPr="009610A4">
        <w:t xml:space="preserve">The following requests for </w:t>
      </w:r>
      <w:r w:rsidR="009F7595">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1A98668E" w14:textId="77777777" w:rsidR="00021222" w:rsidRDefault="00021222" w:rsidP="004F1E64">
      <w:pPr>
        <w:pStyle w:val="ListParagraph"/>
        <w:numPr>
          <w:ilvl w:val="0"/>
          <w:numId w:val="3"/>
        </w:numPr>
      </w:pPr>
      <w:r>
        <w:t>Subscriber Voting Member: UVM</w:t>
      </w:r>
    </w:p>
    <w:p w14:paraId="63A3162C" w14:textId="77777777" w:rsidR="00021222" w:rsidRDefault="00021222" w:rsidP="004F1E64">
      <w:pPr>
        <w:pStyle w:val="ListParagraph"/>
        <w:numPr>
          <w:ilvl w:val="0"/>
          <w:numId w:val="3"/>
        </w:numPr>
      </w:pPr>
      <w:r>
        <w:t>Supplier Voting Member: SVM</w:t>
      </w:r>
    </w:p>
    <w:p w14:paraId="029685DB" w14:textId="77777777" w:rsidR="00021222" w:rsidRDefault="00021222" w:rsidP="004F1E64">
      <w:pPr>
        <w:pStyle w:val="ListParagraph"/>
        <w:numPr>
          <w:ilvl w:val="0"/>
          <w:numId w:val="3"/>
        </w:numPr>
      </w:pPr>
      <w:r>
        <w:t>Alternate: ALT</w:t>
      </w:r>
    </w:p>
    <w:p w14:paraId="6399DD4D" w14:textId="77777777" w:rsidR="006227ED" w:rsidRDefault="006227ED" w:rsidP="004F1E64">
      <w:pPr>
        <w:pStyle w:val="ListParagraph"/>
        <w:numPr>
          <w:ilvl w:val="0"/>
          <w:numId w:val="3"/>
        </w:numPr>
      </w:pPr>
      <w:r>
        <w:t>Task Group Chairperson: CHR</w:t>
      </w:r>
    </w:p>
    <w:p w14:paraId="20CBBC67" w14:textId="77777777" w:rsidR="006227ED" w:rsidRDefault="006227ED" w:rsidP="004F1E64">
      <w:pPr>
        <w:pStyle w:val="ListParagraph"/>
        <w:numPr>
          <w:ilvl w:val="0"/>
          <w:numId w:val="3"/>
        </w:numPr>
      </w:pPr>
      <w:r>
        <w:t>Vice Chairperson: VCH</w:t>
      </w:r>
    </w:p>
    <w:p w14:paraId="43077556" w14:textId="452116D7" w:rsidR="006227ED" w:rsidRDefault="006227ED" w:rsidP="004F1E64">
      <w:pPr>
        <w:pStyle w:val="ListParagraph"/>
        <w:numPr>
          <w:ilvl w:val="0"/>
          <w:numId w:val="3"/>
        </w:numPr>
      </w:pPr>
      <w:r>
        <w:t>Secretary: SEC</w:t>
      </w:r>
    </w:p>
    <w:p w14:paraId="21761D0F" w14:textId="4B4591F4" w:rsidR="00A61353" w:rsidRDefault="00A61353" w:rsidP="00A61353">
      <w:pPr>
        <w:pStyle w:val="ListParagraph"/>
        <w:ind w:left="1440"/>
      </w:pPr>
    </w:p>
    <w:p w14:paraId="46FD1EBF" w14:textId="77777777" w:rsidR="00A61353" w:rsidRDefault="00A61353" w:rsidP="00A61353">
      <w:pPr>
        <w:pStyle w:val="ListParagraph"/>
        <w:ind w:left="1440"/>
      </w:pPr>
    </w:p>
    <w:p w14:paraId="72A8520E" w14:textId="67A807FA" w:rsidR="00A61353" w:rsidRDefault="00A61353" w:rsidP="00A61353"/>
    <w:p w14:paraId="3446E4E0" w14:textId="77777777" w:rsidR="00A61353" w:rsidRPr="009610A4" w:rsidRDefault="00A61353" w:rsidP="00A61353"/>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331"/>
        <w:gridCol w:w="1542"/>
        <w:gridCol w:w="2083"/>
        <w:gridCol w:w="1172"/>
        <w:gridCol w:w="1283"/>
      </w:tblGrid>
      <w:tr w:rsidR="00BE709F" w:rsidRPr="009610A4" w14:paraId="531AED0E" w14:textId="77777777" w:rsidTr="005D4E4C">
        <w:trPr>
          <w:trHeight w:val="719"/>
        </w:trPr>
        <w:tc>
          <w:tcPr>
            <w:tcW w:w="1004" w:type="dxa"/>
            <w:shd w:val="clear" w:color="auto" w:fill="auto"/>
          </w:tcPr>
          <w:p w14:paraId="102D4DBF" w14:textId="77777777" w:rsidR="00BE709F" w:rsidRDefault="00BE709F" w:rsidP="00406886">
            <w:pPr>
              <w:jc w:val="center"/>
              <w:rPr>
                <w:rFonts w:cs="Arial"/>
                <w:b/>
                <w:bCs/>
                <w:iCs/>
              </w:rPr>
            </w:pPr>
            <w:r w:rsidRPr="009610A4">
              <w:rPr>
                <w:rFonts w:cs="Arial"/>
                <w:b/>
                <w:bCs/>
                <w:iCs/>
              </w:rPr>
              <w:t>First Name</w:t>
            </w:r>
          </w:p>
          <w:p w14:paraId="350C4246" w14:textId="77777777" w:rsidR="00BE709F" w:rsidRPr="009610A4" w:rsidRDefault="00BE709F" w:rsidP="00406886">
            <w:pPr>
              <w:jc w:val="center"/>
              <w:rPr>
                <w:rFonts w:cs="Arial"/>
                <w:b/>
                <w:bCs/>
                <w:iCs/>
              </w:rPr>
            </w:pPr>
          </w:p>
        </w:tc>
        <w:tc>
          <w:tcPr>
            <w:tcW w:w="1331" w:type="dxa"/>
            <w:shd w:val="clear" w:color="auto" w:fill="auto"/>
          </w:tcPr>
          <w:p w14:paraId="32573F83" w14:textId="77777777" w:rsidR="00BE709F" w:rsidRPr="009610A4" w:rsidRDefault="00BE709F" w:rsidP="00406886">
            <w:pPr>
              <w:jc w:val="center"/>
              <w:rPr>
                <w:rFonts w:cs="Arial"/>
                <w:b/>
                <w:bCs/>
                <w:iCs/>
              </w:rPr>
            </w:pPr>
            <w:r w:rsidRPr="009610A4">
              <w:rPr>
                <w:rFonts w:cs="Arial"/>
                <w:b/>
                <w:bCs/>
                <w:iCs/>
              </w:rPr>
              <w:t>Surname</w:t>
            </w:r>
          </w:p>
        </w:tc>
        <w:tc>
          <w:tcPr>
            <w:tcW w:w="1542" w:type="dxa"/>
            <w:shd w:val="clear" w:color="auto" w:fill="auto"/>
          </w:tcPr>
          <w:p w14:paraId="582C5463" w14:textId="77777777" w:rsidR="00BE709F" w:rsidRPr="009610A4" w:rsidRDefault="00BE709F" w:rsidP="00406886">
            <w:pPr>
              <w:jc w:val="center"/>
              <w:rPr>
                <w:rFonts w:cs="Arial"/>
                <w:b/>
                <w:bCs/>
                <w:iCs/>
              </w:rPr>
            </w:pPr>
            <w:r w:rsidRPr="009610A4">
              <w:rPr>
                <w:rFonts w:cs="Arial"/>
                <w:b/>
                <w:bCs/>
                <w:iCs/>
              </w:rPr>
              <w:t>Company</w:t>
            </w:r>
          </w:p>
        </w:tc>
        <w:tc>
          <w:tcPr>
            <w:tcW w:w="2083" w:type="dxa"/>
            <w:shd w:val="clear" w:color="auto" w:fill="auto"/>
          </w:tcPr>
          <w:p w14:paraId="37AE44F7" w14:textId="77777777" w:rsidR="00BE709F" w:rsidRDefault="00021222" w:rsidP="00406886">
            <w:pPr>
              <w:jc w:val="center"/>
              <w:rPr>
                <w:rFonts w:cs="Arial"/>
                <w:b/>
                <w:bCs/>
                <w:iCs/>
              </w:rPr>
            </w:pPr>
            <w:r>
              <w:rPr>
                <w:rFonts w:cs="Arial"/>
                <w:b/>
                <w:bCs/>
                <w:iCs/>
              </w:rPr>
              <w:t>Position:</w:t>
            </w:r>
          </w:p>
          <w:p w14:paraId="339879E5" w14:textId="77777777" w:rsidR="009F7595" w:rsidRPr="009610A4" w:rsidRDefault="009F7595" w:rsidP="00406886">
            <w:pPr>
              <w:jc w:val="center"/>
              <w:rPr>
                <w:rFonts w:cs="Arial"/>
                <w:b/>
                <w:bCs/>
                <w:iCs/>
              </w:rPr>
            </w:pPr>
            <w:r>
              <w:rPr>
                <w:rFonts w:cs="Arial"/>
                <w:b/>
                <w:bCs/>
                <w:iCs/>
              </w:rPr>
              <w:t>(new / updated role)</w:t>
            </w:r>
          </w:p>
        </w:tc>
        <w:tc>
          <w:tcPr>
            <w:tcW w:w="2455" w:type="dxa"/>
            <w:gridSpan w:val="2"/>
            <w:shd w:val="clear" w:color="auto" w:fill="auto"/>
          </w:tcPr>
          <w:p w14:paraId="7B890893" w14:textId="77777777" w:rsidR="00BE709F" w:rsidRPr="009610A4" w:rsidRDefault="00BE709F" w:rsidP="00406886">
            <w:pPr>
              <w:jc w:val="center"/>
              <w:rPr>
                <w:rFonts w:cs="Arial"/>
                <w:b/>
                <w:bCs/>
                <w:iCs/>
              </w:rPr>
            </w:pPr>
            <w:r w:rsidRPr="009610A4">
              <w:rPr>
                <w:rFonts w:cs="Arial"/>
                <w:b/>
                <w:bCs/>
                <w:iCs/>
              </w:rPr>
              <w:t>Meetings Attended</w:t>
            </w:r>
            <w:r w:rsidRPr="009610A4">
              <w:rPr>
                <w:rFonts w:cs="Arial"/>
                <w:b/>
                <w:bCs/>
                <w:iCs/>
              </w:rPr>
              <w:br/>
              <w:t>(Month/Year)</w:t>
            </w:r>
          </w:p>
        </w:tc>
      </w:tr>
      <w:tr w:rsidR="00BE709F" w:rsidRPr="009610A4" w14:paraId="1E9672E4" w14:textId="77777777" w:rsidTr="005D4E4C">
        <w:tc>
          <w:tcPr>
            <w:tcW w:w="1004" w:type="dxa"/>
            <w:shd w:val="clear" w:color="auto" w:fill="auto"/>
          </w:tcPr>
          <w:p w14:paraId="4B052374" w14:textId="77777777" w:rsidR="00BE709F" w:rsidRPr="009610A4" w:rsidRDefault="005D4E4C" w:rsidP="00406886">
            <w:pPr>
              <w:rPr>
                <w:rFonts w:cs="Arial"/>
                <w:bCs/>
                <w:iCs/>
              </w:rPr>
            </w:pPr>
            <w:r>
              <w:rPr>
                <w:rFonts w:cs="Arial"/>
                <w:bCs/>
                <w:iCs/>
              </w:rPr>
              <w:t>Martha</w:t>
            </w:r>
          </w:p>
        </w:tc>
        <w:tc>
          <w:tcPr>
            <w:tcW w:w="1331" w:type="dxa"/>
            <w:shd w:val="clear" w:color="auto" w:fill="auto"/>
          </w:tcPr>
          <w:p w14:paraId="1F2DEC2A" w14:textId="189A672A" w:rsidR="00BE709F" w:rsidRPr="009610A4" w:rsidRDefault="00687555" w:rsidP="00406886">
            <w:pPr>
              <w:rPr>
                <w:rFonts w:cs="Arial"/>
                <w:bCs/>
                <w:iCs/>
              </w:rPr>
            </w:pPr>
            <w:r>
              <w:rPr>
                <w:rFonts w:cs="Arial"/>
                <w:bCs/>
                <w:iCs/>
              </w:rPr>
              <w:t>Cordova</w:t>
            </w:r>
            <w:r w:rsidR="00A61353">
              <w:rPr>
                <w:rFonts w:cs="Arial"/>
                <w:bCs/>
                <w:iCs/>
              </w:rPr>
              <w:t xml:space="preserve"> -</w:t>
            </w:r>
            <w:r w:rsidR="003B53D4">
              <w:rPr>
                <w:rFonts w:cs="Arial"/>
                <w:bCs/>
                <w:iCs/>
              </w:rPr>
              <w:t>Landa</w:t>
            </w:r>
          </w:p>
        </w:tc>
        <w:tc>
          <w:tcPr>
            <w:tcW w:w="1542" w:type="dxa"/>
            <w:shd w:val="clear" w:color="auto" w:fill="auto"/>
          </w:tcPr>
          <w:p w14:paraId="3FC9C4A0" w14:textId="77777777" w:rsidR="00BE709F" w:rsidRPr="009610A4" w:rsidRDefault="00E32F5E" w:rsidP="00406886">
            <w:pPr>
              <w:rPr>
                <w:rFonts w:cs="Arial"/>
                <w:bCs/>
                <w:iCs/>
              </w:rPr>
            </w:pPr>
            <w:r>
              <w:rPr>
                <w:rFonts w:cs="Arial"/>
                <w:bCs/>
                <w:iCs/>
              </w:rPr>
              <w:t>Boeing</w:t>
            </w:r>
          </w:p>
        </w:tc>
        <w:tc>
          <w:tcPr>
            <w:tcW w:w="2083" w:type="dxa"/>
            <w:shd w:val="clear" w:color="auto" w:fill="auto"/>
          </w:tcPr>
          <w:p w14:paraId="3A88FEE6" w14:textId="77777777" w:rsidR="00BE709F" w:rsidRPr="00C86C9F" w:rsidRDefault="00E32F5E" w:rsidP="00406886">
            <w:pPr>
              <w:rPr>
                <w:rFonts w:cs="Arial"/>
                <w:bCs/>
                <w:iCs/>
              </w:rPr>
            </w:pPr>
            <w:r>
              <w:rPr>
                <w:rFonts w:cs="Arial"/>
                <w:bCs/>
                <w:iCs/>
              </w:rPr>
              <w:t>ALT</w:t>
            </w:r>
            <w:r w:rsidR="005D4E4C">
              <w:rPr>
                <w:rFonts w:cs="Arial"/>
                <w:bCs/>
                <w:iCs/>
              </w:rPr>
              <w:t xml:space="preserve"> UVM</w:t>
            </w:r>
          </w:p>
        </w:tc>
        <w:tc>
          <w:tcPr>
            <w:tcW w:w="1172" w:type="dxa"/>
            <w:shd w:val="clear" w:color="auto" w:fill="auto"/>
          </w:tcPr>
          <w:p w14:paraId="34A7900D" w14:textId="77777777" w:rsidR="00BE709F" w:rsidRPr="009610A4" w:rsidRDefault="005D4E4C" w:rsidP="00406886">
            <w:pPr>
              <w:rPr>
                <w:rFonts w:cs="Arial"/>
                <w:bCs/>
                <w:iCs/>
              </w:rPr>
            </w:pPr>
            <w:r>
              <w:rPr>
                <w:rFonts w:cs="Arial"/>
                <w:bCs/>
                <w:iCs/>
              </w:rPr>
              <w:t>Oct 2016</w:t>
            </w:r>
          </w:p>
        </w:tc>
        <w:tc>
          <w:tcPr>
            <w:tcW w:w="1283" w:type="dxa"/>
            <w:shd w:val="clear" w:color="auto" w:fill="auto"/>
          </w:tcPr>
          <w:p w14:paraId="1B4E1C0A" w14:textId="77777777" w:rsidR="00BE709F" w:rsidRPr="00C9352E" w:rsidRDefault="005D4E4C" w:rsidP="00406886">
            <w:pPr>
              <w:rPr>
                <w:rFonts w:cs="Arial"/>
                <w:bCs/>
                <w:iCs/>
              </w:rPr>
            </w:pPr>
            <w:r>
              <w:rPr>
                <w:rFonts w:cs="Arial"/>
                <w:bCs/>
                <w:iCs/>
              </w:rPr>
              <w:t>Feb 2017</w:t>
            </w:r>
          </w:p>
        </w:tc>
      </w:tr>
      <w:tr w:rsidR="00BE709F" w:rsidRPr="009610A4" w14:paraId="35C9FDE8" w14:textId="77777777" w:rsidTr="005D4E4C">
        <w:tc>
          <w:tcPr>
            <w:tcW w:w="1004" w:type="dxa"/>
            <w:shd w:val="clear" w:color="auto" w:fill="auto"/>
          </w:tcPr>
          <w:p w14:paraId="0CC264B5" w14:textId="77777777" w:rsidR="00BE709F" w:rsidRPr="009610A4" w:rsidRDefault="005D4E4C" w:rsidP="00406886">
            <w:pPr>
              <w:jc w:val="both"/>
              <w:rPr>
                <w:rFonts w:cs="Arial"/>
                <w:bCs/>
                <w:iCs/>
              </w:rPr>
            </w:pPr>
            <w:r>
              <w:rPr>
                <w:rFonts w:cs="Arial"/>
                <w:bCs/>
                <w:iCs/>
              </w:rPr>
              <w:t>Johanna</w:t>
            </w:r>
          </w:p>
        </w:tc>
        <w:tc>
          <w:tcPr>
            <w:tcW w:w="1331" w:type="dxa"/>
            <w:shd w:val="clear" w:color="auto" w:fill="auto"/>
          </w:tcPr>
          <w:p w14:paraId="189E18FF" w14:textId="77777777" w:rsidR="00BE709F" w:rsidRPr="009610A4" w:rsidRDefault="005D4E4C" w:rsidP="00406886">
            <w:pPr>
              <w:rPr>
                <w:rFonts w:cs="Arial"/>
                <w:bCs/>
                <w:iCs/>
              </w:rPr>
            </w:pPr>
            <w:r>
              <w:rPr>
                <w:rFonts w:cs="Arial"/>
                <w:bCs/>
                <w:iCs/>
              </w:rPr>
              <w:t>Lisa</w:t>
            </w:r>
          </w:p>
        </w:tc>
        <w:tc>
          <w:tcPr>
            <w:tcW w:w="1542" w:type="dxa"/>
            <w:shd w:val="clear" w:color="auto" w:fill="auto"/>
          </w:tcPr>
          <w:p w14:paraId="0431ACAE" w14:textId="77777777" w:rsidR="00BE709F" w:rsidRPr="009610A4" w:rsidRDefault="005D4E4C" w:rsidP="00406886">
            <w:pPr>
              <w:rPr>
                <w:rFonts w:cs="Arial"/>
                <w:bCs/>
                <w:iCs/>
              </w:rPr>
            </w:pPr>
            <w:r>
              <w:rPr>
                <w:rFonts w:cs="Arial"/>
                <w:bCs/>
                <w:iCs/>
              </w:rPr>
              <w:t>Continental Heat Treating</w:t>
            </w:r>
          </w:p>
        </w:tc>
        <w:tc>
          <w:tcPr>
            <w:tcW w:w="2083" w:type="dxa"/>
            <w:shd w:val="clear" w:color="auto" w:fill="auto"/>
          </w:tcPr>
          <w:p w14:paraId="00BA51FA" w14:textId="77777777" w:rsidR="00BE709F" w:rsidRPr="009610A4" w:rsidRDefault="005D4E4C" w:rsidP="00406886">
            <w:pPr>
              <w:rPr>
                <w:rFonts w:cs="Arial"/>
                <w:bCs/>
                <w:iCs/>
              </w:rPr>
            </w:pPr>
            <w:r>
              <w:rPr>
                <w:rFonts w:cs="Arial"/>
                <w:bCs/>
                <w:iCs/>
              </w:rPr>
              <w:t>ALT SVM</w:t>
            </w:r>
          </w:p>
        </w:tc>
        <w:tc>
          <w:tcPr>
            <w:tcW w:w="1172" w:type="dxa"/>
            <w:shd w:val="clear" w:color="auto" w:fill="auto"/>
          </w:tcPr>
          <w:p w14:paraId="06E7913B" w14:textId="77777777" w:rsidR="00BE709F" w:rsidRPr="00406713" w:rsidRDefault="005D4E4C" w:rsidP="00406886">
            <w:pPr>
              <w:rPr>
                <w:rFonts w:cs="Arial"/>
                <w:bCs/>
                <w:iCs/>
              </w:rPr>
            </w:pPr>
            <w:r>
              <w:rPr>
                <w:rFonts w:cs="Arial"/>
                <w:bCs/>
                <w:iCs/>
              </w:rPr>
              <w:t>Oct 2016</w:t>
            </w:r>
          </w:p>
        </w:tc>
        <w:tc>
          <w:tcPr>
            <w:tcW w:w="1283" w:type="dxa"/>
            <w:shd w:val="clear" w:color="auto" w:fill="auto"/>
          </w:tcPr>
          <w:p w14:paraId="7CBB3AC1" w14:textId="77777777" w:rsidR="00BE709F" w:rsidRPr="00C9352E" w:rsidRDefault="005D4E4C" w:rsidP="00406886">
            <w:pPr>
              <w:rPr>
                <w:rFonts w:cs="Arial"/>
                <w:bCs/>
                <w:iCs/>
              </w:rPr>
            </w:pPr>
            <w:r>
              <w:rPr>
                <w:rFonts w:cs="Arial"/>
                <w:bCs/>
                <w:iCs/>
              </w:rPr>
              <w:t>Feb 2017</w:t>
            </w:r>
          </w:p>
        </w:tc>
      </w:tr>
      <w:tr w:rsidR="00BE709F" w:rsidRPr="009610A4" w14:paraId="1B3411EC" w14:textId="77777777" w:rsidTr="005D4E4C">
        <w:tc>
          <w:tcPr>
            <w:tcW w:w="1004" w:type="dxa"/>
            <w:shd w:val="clear" w:color="auto" w:fill="auto"/>
          </w:tcPr>
          <w:p w14:paraId="211E6BD9" w14:textId="77777777" w:rsidR="00BE709F" w:rsidRDefault="005D4E4C" w:rsidP="00406886">
            <w:pPr>
              <w:jc w:val="both"/>
              <w:rPr>
                <w:rFonts w:cs="Arial"/>
                <w:bCs/>
                <w:iCs/>
              </w:rPr>
            </w:pPr>
            <w:r>
              <w:rPr>
                <w:rFonts w:cs="Arial"/>
                <w:bCs/>
                <w:iCs/>
              </w:rPr>
              <w:t xml:space="preserve">Steven </w:t>
            </w:r>
          </w:p>
        </w:tc>
        <w:tc>
          <w:tcPr>
            <w:tcW w:w="1331" w:type="dxa"/>
            <w:shd w:val="clear" w:color="auto" w:fill="auto"/>
          </w:tcPr>
          <w:p w14:paraId="271C3103" w14:textId="77777777" w:rsidR="00BE709F" w:rsidRDefault="005D4E4C" w:rsidP="00406886">
            <w:pPr>
              <w:rPr>
                <w:rFonts w:cs="Arial"/>
                <w:bCs/>
                <w:iCs/>
              </w:rPr>
            </w:pPr>
            <w:r>
              <w:rPr>
                <w:rFonts w:cs="Arial"/>
                <w:bCs/>
                <w:iCs/>
              </w:rPr>
              <w:t>Dix</w:t>
            </w:r>
          </w:p>
        </w:tc>
        <w:tc>
          <w:tcPr>
            <w:tcW w:w="1542" w:type="dxa"/>
            <w:shd w:val="clear" w:color="auto" w:fill="auto"/>
          </w:tcPr>
          <w:p w14:paraId="7F90F702" w14:textId="77777777" w:rsidR="00BE709F" w:rsidRDefault="005D4E4C" w:rsidP="00406886">
            <w:pPr>
              <w:rPr>
                <w:rFonts w:cs="Arial"/>
                <w:bCs/>
                <w:iCs/>
              </w:rPr>
            </w:pPr>
            <w:r>
              <w:rPr>
                <w:rFonts w:cs="Arial"/>
                <w:bCs/>
                <w:iCs/>
              </w:rPr>
              <w:t>Eaton Aerospace</w:t>
            </w:r>
          </w:p>
        </w:tc>
        <w:tc>
          <w:tcPr>
            <w:tcW w:w="2083" w:type="dxa"/>
            <w:shd w:val="clear" w:color="auto" w:fill="auto"/>
          </w:tcPr>
          <w:p w14:paraId="77610D65" w14:textId="77777777" w:rsidR="00BE709F" w:rsidRDefault="005D4E4C" w:rsidP="00406886">
            <w:pPr>
              <w:rPr>
                <w:rFonts w:cs="Arial"/>
                <w:bCs/>
                <w:iCs/>
              </w:rPr>
            </w:pPr>
            <w:r>
              <w:rPr>
                <w:rFonts w:cs="Arial"/>
                <w:bCs/>
                <w:iCs/>
              </w:rPr>
              <w:t>UVM</w:t>
            </w:r>
          </w:p>
        </w:tc>
        <w:tc>
          <w:tcPr>
            <w:tcW w:w="1172" w:type="dxa"/>
            <w:shd w:val="clear" w:color="auto" w:fill="auto"/>
          </w:tcPr>
          <w:p w14:paraId="614BDDB1" w14:textId="77777777" w:rsidR="00BE709F" w:rsidRDefault="005D4E4C" w:rsidP="00406886">
            <w:pPr>
              <w:rPr>
                <w:rFonts w:cs="Arial"/>
                <w:bCs/>
                <w:iCs/>
              </w:rPr>
            </w:pPr>
            <w:r>
              <w:rPr>
                <w:rFonts w:cs="Arial"/>
                <w:bCs/>
                <w:iCs/>
              </w:rPr>
              <w:t>Oct 2016</w:t>
            </w:r>
          </w:p>
        </w:tc>
        <w:tc>
          <w:tcPr>
            <w:tcW w:w="1283" w:type="dxa"/>
            <w:shd w:val="clear" w:color="auto" w:fill="auto"/>
          </w:tcPr>
          <w:p w14:paraId="3684AED6" w14:textId="77777777" w:rsidR="00BE709F" w:rsidRPr="00C9352E" w:rsidRDefault="005D4E4C" w:rsidP="00406886">
            <w:pPr>
              <w:rPr>
                <w:rFonts w:cs="Arial"/>
                <w:bCs/>
                <w:iCs/>
              </w:rPr>
            </w:pPr>
            <w:r>
              <w:rPr>
                <w:rFonts w:cs="Arial"/>
                <w:bCs/>
                <w:iCs/>
              </w:rPr>
              <w:t>Feb 2017</w:t>
            </w:r>
          </w:p>
        </w:tc>
      </w:tr>
      <w:tr w:rsidR="00BE709F" w:rsidRPr="009610A4" w14:paraId="0B47BCB4" w14:textId="77777777" w:rsidTr="005D4E4C">
        <w:tc>
          <w:tcPr>
            <w:tcW w:w="1004" w:type="dxa"/>
            <w:shd w:val="clear" w:color="auto" w:fill="auto"/>
          </w:tcPr>
          <w:p w14:paraId="37A05DD5" w14:textId="77777777" w:rsidR="00BE709F" w:rsidRDefault="005D4E4C" w:rsidP="00406886">
            <w:pPr>
              <w:jc w:val="both"/>
              <w:rPr>
                <w:rFonts w:cs="Arial"/>
                <w:bCs/>
                <w:iCs/>
              </w:rPr>
            </w:pPr>
            <w:r>
              <w:rPr>
                <w:rFonts w:cs="Arial"/>
                <w:bCs/>
                <w:iCs/>
              </w:rPr>
              <w:t>David</w:t>
            </w:r>
          </w:p>
        </w:tc>
        <w:tc>
          <w:tcPr>
            <w:tcW w:w="1331" w:type="dxa"/>
            <w:shd w:val="clear" w:color="auto" w:fill="auto"/>
          </w:tcPr>
          <w:p w14:paraId="1E3C78B7" w14:textId="77777777" w:rsidR="00BE709F" w:rsidRPr="00A33C7D" w:rsidRDefault="005D4E4C" w:rsidP="00406886">
            <w:pPr>
              <w:rPr>
                <w:rFonts w:cs="Arial"/>
                <w:bCs/>
                <w:iCs/>
              </w:rPr>
            </w:pPr>
            <w:r>
              <w:rPr>
                <w:rFonts w:cs="Arial"/>
                <w:bCs/>
                <w:iCs/>
              </w:rPr>
              <w:t>Staten Jr</w:t>
            </w:r>
          </w:p>
        </w:tc>
        <w:tc>
          <w:tcPr>
            <w:tcW w:w="1542" w:type="dxa"/>
            <w:shd w:val="clear" w:color="auto" w:fill="auto"/>
          </w:tcPr>
          <w:p w14:paraId="10EFD123" w14:textId="77777777" w:rsidR="00BE709F" w:rsidRDefault="005D4E4C" w:rsidP="00406886">
            <w:pPr>
              <w:rPr>
                <w:rFonts w:cs="Arial"/>
                <w:bCs/>
                <w:iCs/>
              </w:rPr>
            </w:pPr>
            <w:r>
              <w:rPr>
                <w:rFonts w:cs="Arial"/>
                <w:bCs/>
                <w:iCs/>
              </w:rPr>
              <w:t>Eaton Aerospace</w:t>
            </w:r>
          </w:p>
        </w:tc>
        <w:tc>
          <w:tcPr>
            <w:tcW w:w="2083" w:type="dxa"/>
            <w:shd w:val="clear" w:color="auto" w:fill="auto"/>
          </w:tcPr>
          <w:p w14:paraId="5B36D839" w14:textId="77777777" w:rsidR="00BE709F" w:rsidRDefault="005D4E4C" w:rsidP="00406886">
            <w:pPr>
              <w:rPr>
                <w:rFonts w:cs="Arial"/>
                <w:bCs/>
                <w:iCs/>
              </w:rPr>
            </w:pPr>
            <w:r>
              <w:rPr>
                <w:rFonts w:cs="Arial"/>
                <w:bCs/>
                <w:iCs/>
              </w:rPr>
              <w:t>ALT UVM – current UVM</w:t>
            </w:r>
          </w:p>
        </w:tc>
        <w:tc>
          <w:tcPr>
            <w:tcW w:w="1172" w:type="dxa"/>
            <w:shd w:val="clear" w:color="auto" w:fill="auto"/>
          </w:tcPr>
          <w:p w14:paraId="6211D880" w14:textId="77777777" w:rsidR="00BE709F" w:rsidRDefault="00BE709F" w:rsidP="00406886">
            <w:pPr>
              <w:rPr>
                <w:rFonts w:cs="Arial"/>
                <w:bCs/>
                <w:iCs/>
              </w:rPr>
            </w:pPr>
          </w:p>
        </w:tc>
        <w:tc>
          <w:tcPr>
            <w:tcW w:w="1283" w:type="dxa"/>
            <w:shd w:val="clear" w:color="auto" w:fill="auto"/>
          </w:tcPr>
          <w:p w14:paraId="61AB7F83" w14:textId="77777777" w:rsidR="00BE709F" w:rsidRPr="00A33C7D" w:rsidRDefault="00BE709F" w:rsidP="00406886">
            <w:pPr>
              <w:rPr>
                <w:rFonts w:cs="Arial"/>
                <w:bCs/>
                <w:iCs/>
              </w:rPr>
            </w:pPr>
          </w:p>
        </w:tc>
      </w:tr>
    </w:tbl>
    <w:p w14:paraId="5A1EFF62" w14:textId="77777777" w:rsidR="00BE709F" w:rsidRPr="009610A4" w:rsidRDefault="00BE709F" w:rsidP="00BE709F">
      <w:pPr>
        <w:spacing w:after="0"/>
        <w:ind w:left="720"/>
      </w:pPr>
    </w:p>
    <w:p w14:paraId="72384311" w14:textId="77777777" w:rsidR="00FA0B5E" w:rsidRDefault="00BE709F" w:rsidP="00BE709F">
      <w:pPr>
        <w:pStyle w:val="Body"/>
      </w:pPr>
      <w:r>
        <w:t>The</w:t>
      </w:r>
      <w:r w:rsidRPr="007C56EB">
        <w:t xml:space="preserve"> </w:t>
      </w:r>
      <w:r w:rsidRPr="009F46F5">
        <w:t>compliance to voting requirements</w:t>
      </w:r>
      <w:r>
        <w:t xml:space="preserve"> </w:t>
      </w:r>
      <w:r w:rsidR="00021222">
        <w:t>per PD 110</w:t>
      </w:r>
      <w:r>
        <w:t xml:space="preserve">0 were reviewed. </w:t>
      </w:r>
      <w:r w:rsidR="005D4E4C">
        <w:t xml:space="preserve">Eaton Aerospace and DCMA </w:t>
      </w:r>
      <w:r w:rsidR="009F7595">
        <w:t>have</w:t>
      </w:r>
      <w:r>
        <w:t xml:space="preserve"> not met requirements for </w:t>
      </w:r>
      <w:r w:rsidR="00992272">
        <w:t>maintaining their</w:t>
      </w:r>
      <w:r>
        <w:t xml:space="preserve"> voting rights</w:t>
      </w:r>
      <w:r w:rsidR="00992272">
        <w:t>.</w:t>
      </w:r>
      <w:r>
        <w:t xml:space="preserve"> </w:t>
      </w:r>
    </w:p>
    <w:p w14:paraId="7371D5AA" w14:textId="6CE61C39" w:rsidR="00495BD1" w:rsidRDefault="00495BD1" w:rsidP="00BE709F">
      <w:pPr>
        <w:pStyle w:val="Body"/>
      </w:pPr>
      <w:r>
        <w:t>Participants that asked for voting rights to the AQS Task Group are outline</w:t>
      </w:r>
      <w:r w:rsidR="003B53D4">
        <w:t>d</w:t>
      </w:r>
      <w:r>
        <w:t xml:space="preserve"> in the table above.</w:t>
      </w:r>
    </w:p>
    <w:p w14:paraId="711EC993" w14:textId="77777777" w:rsidR="008907ED" w:rsidRDefault="008907ED" w:rsidP="00BE709F">
      <w:pPr>
        <w:pStyle w:val="Body"/>
      </w:pPr>
      <w:r>
        <w:t>Patricia Wesemann will be retiring from Boeing in April 2017.  Her voting rights will need to be removed after her retirement.</w:t>
      </w:r>
    </w:p>
    <w:p w14:paraId="4527FF1E" w14:textId="52D59B09" w:rsidR="00E60AEA" w:rsidRDefault="00E60AEA" w:rsidP="00E60AEA">
      <w:pPr>
        <w:pStyle w:val="Body"/>
      </w:pPr>
      <w:r>
        <w:t xml:space="preserve">Motion made by </w:t>
      </w:r>
      <w:r w:rsidR="005D4E4C" w:rsidRPr="005D4E4C">
        <w:t xml:space="preserve">Patricia Wesemann </w:t>
      </w:r>
      <w:r>
        <w:t xml:space="preserve">and seconded by </w:t>
      </w:r>
      <w:r w:rsidR="005D4E4C" w:rsidRPr="005D4E4C">
        <w:t xml:space="preserve">Angelina Mendoza </w:t>
      </w:r>
      <w:r>
        <w:t xml:space="preserve">to </w:t>
      </w:r>
      <w:r w:rsidR="005D4E4C">
        <w:t xml:space="preserve">maintain </w:t>
      </w:r>
      <w:r w:rsidR="002A7A65">
        <w:t>voting</w:t>
      </w:r>
      <w:r w:rsidR="00495BD1">
        <w:t xml:space="preserve"> rights for those members that are in jeopardy of losing their voting rights</w:t>
      </w:r>
      <w:r>
        <w:t>. Motion Passed</w:t>
      </w:r>
    </w:p>
    <w:p w14:paraId="2A72FF56" w14:textId="77777777" w:rsidR="00FA0B5E" w:rsidRDefault="00E60AEA" w:rsidP="00E60AEA">
      <w:pPr>
        <w:pStyle w:val="Heading1"/>
      </w:pPr>
      <w:bookmarkStart w:id="15" w:name="_Toc414366759"/>
      <w:bookmarkStart w:id="16" w:name="_Toc423952630"/>
      <w:bookmarkStart w:id="17" w:name="_Toc455145419"/>
      <w:bookmarkStart w:id="18" w:name="_Toc455148438"/>
      <w:bookmarkStart w:id="19" w:name="_Toc466027012"/>
      <w:bookmarkStart w:id="20" w:name="_Toc466379330"/>
      <w:bookmarkStart w:id="21" w:name="_Toc466379633"/>
      <w:bookmarkStart w:id="22" w:name="_Toc466380002"/>
      <w:bookmarkStart w:id="23" w:name="_Toc466380173"/>
      <w:bookmarkStart w:id="24" w:name="_Toc466454984"/>
      <w:bookmarkStart w:id="25" w:name="_Toc466455086"/>
      <w:bookmarkStart w:id="26" w:name="_Toc466455198"/>
      <w:bookmarkStart w:id="27" w:name="_Toc471218655"/>
      <w:bookmarkStart w:id="28" w:name="_Toc471218981"/>
      <w:bookmarkStart w:id="29" w:name="_Toc471219192"/>
      <w:bookmarkStart w:id="30" w:name="_Toc471220460"/>
      <w:r w:rsidRPr="00BC61DB">
        <w:t>AQS RAIL Review</w:t>
      </w:r>
      <w:r>
        <w:t xml:space="preserve"> </w:t>
      </w:r>
      <w:r w:rsidRPr="00BC61DB">
        <w:t>/</w:t>
      </w:r>
      <w: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C61DB">
        <w:t>UPDATE –</w:t>
      </w:r>
      <w:r>
        <w:t xml:space="preserve"> OPEN</w:t>
      </w:r>
    </w:p>
    <w:p w14:paraId="18BA4D21" w14:textId="77777777" w:rsidR="002A7A65" w:rsidRDefault="002A7A65" w:rsidP="002A7A65">
      <w:pPr>
        <w:pStyle w:val="Body"/>
      </w:pPr>
      <w:r>
        <w:t>The Rolling Action Item List (RAIL) was reviewed and updated by the Staff Engineer.</w:t>
      </w:r>
    </w:p>
    <w:p w14:paraId="3E2D9805" w14:textId="288E23FD" w:rsidR="00E60AEA" w:rsidRDefault="002A7A65" w:rsidP="002A7A65">
      <w:pPr>
        <w:pStyle w:val="Body"/>
      </w:pPr>
      <w:r>
        <w:t>For specific details, please see the current AQS Rolling Action Item List posted at www.eAuditNet.com, under Public Documents.</w:t>
      </w:r>
    </w:p>
    <w:p w14:paraId="7007592E" w14:textId="64F5235C" w:rsidR="00A61353" w:rsidRDefault="00A61353" w:rsidP="002A7A65">
      <w:pPr>
        <w:pStyle w:val="Body"/>
      </w:pPr>
    </w:p>
    <w:p w14:paraId="762DD805" w14:textId="77777777" w:rsidR="00E60AEA" w:rsidRDefault="00E60AEA" w:rsidP="00E60AEA">
      <w:pPr>
        <w:pStyle w:val="Heading1"/>
      </w:pPr>
      <w:r w:rsidRPr="00E60AEA">
        <w:lastRenderedPageBreak/>
        <w:t>Misc Reporting</w:t>
      </w:r>
      <w:r>
        <w:t xml:space="preserve"> – OPEN</w:t>
      </w:r>
    </w:p>
    <w:p w14:paraId="57C540B6" w14:textId="77777777" w:rsidR="002A7A65" w:rsidRDefault="002A7A65" w:rsidP="002A7A65">
      <w:pPr>
        <w:pStyle w:val="Heading2"/>
      </w:pPr>
      <w:r>
        <w:t>Supplier Support Committee Report-Out</w:t>
      </w:r>
    </w:p>
    <w:p w14:paraId="45505A90" w14:textId="77777777" w:rsidR="002A7A65" w:rsidRDefault="00F41FE2" w:rsidP="002A7A65">
      <w:pPr>
        <w:pStyle w:val="Heading2"/>
        <w:numPr>
          <w:ilvl w:val="0"/>
          <w:numId w:val="0"/>
        </w:numPr>
        <w:ind w:left="720"/>
      </w:pPr>
      <w:r>
        <w:t>Dave Eshleman reviewed the SSC presentation and discussed activity.</w:t>
      </w:r>
    </w:p>
    <w:p w14:paraId="36AF14FD" w14:textId="77777777" w:rsidR="002A7A65" w:rsidRDefault="002A7A65" w:rsidP="002A7A65">
      <w:pPr>
        <w:pStyle w:val="Heading2"/>
      </w:pPr>
      <w:r>
        <w:t>Nadcap Management Council (NMC)/</w:t>
      </w:r>
      <w:r w:rsidR="00F41FE2">
        <w:t xml:space="preserve">AQS metrics </w:t>
      </w:r>
    </w:p>
    <w:p w14:paraId="75C4FD1B" w14:textId="77777777" w:rsidR="002A7A65" w:rsidRDefault="009A6D47" w:rsidP="002A7A65">
      <w:pPr>
        <w:pStyle w:val="Heading2"/>
        <w:numPr>
          <w:ilvl w:val="0"/>
          <w:numId w:val="0"/>
        </w:numPr>
        <w:ind w:left="720"/>
      </w:pPr>
      <w:r>
        <w:t>The m</w:t>
      </w:r>
      <w:r w:rsidR="002A7A65">
        <w:t xml:space="preserve">etrics </w:t>
      </w:r>
      <w:r>
        <w:t>i</w:t>
      </w:r>
      <w:r w:rsidR="002A7A65">
        <w:t xml:space="preserve">n eAuditNet </w:t>
      </w:r>
      <w:r w:rsidR="00F41FE2">
        <w:t>were reviewed.</w:t>
      </w:r>
      <w:r w:rsidR="002A7A65">
        <w:t xml:space="preserve">  A presentation was given to attendees</w:t>
      </w:r>
      <w:r w:rsidR="00F31E97">
        <w:t xml:space="preserve"> as to</w:t>
      </w:r>
      <w:r w:rsidR="002A7A65">
        <w:t xml:space="preserve"> where the metrics are located.</w:t>
      </w:r>
    </w:p>
    <w:p w14:paraId="212EF4CA" w14:textId="77777777" w:rsidR="002A7A65" w:rsidRDefault="002A7A65" w:rsidP="002A7A65">
      <w:pPr>
        <w:pStyle w:val="Heading2"/>
      </w:pPr>
      <w:r>
        <w:t>Audit Observations</w:t>
      </w:r>
    </w:p>
    <w:p w14:paraId="2171A627" w14:textId="4CF1E4C1" w:rsidR="002A7A65" w:rsidRDefault="002A7A65" w:rsidP="002A7A65">
      <w:pPr>
        <w:pStyle w:val="Heading2"/>
        <w:numPr>
          <w:ilvl w:val="0"/>
          <w:numId w:val="0"/>
        </w:numPr>
        <w:ind w:left="720"/>
      </w:pPr>
      <w:r>
        <w:t xml:space="preserve">All Suppliers were encouraged to accept </w:t>
      </w:r>
      <w:r w:rsidR="003B53D4">
        <w:t>O</w:t>
      </w:r>
      <w:r>
        <w:t>bservers, as they are there to audit the Nadcap process, not the Supplier.  Operating Procedures OP1117 Auditor Consistency and OP 1118 Audit Observers were discussed</w:t>
      </w:r>
      <w:r w:rsidR="009A6D47">
        <w:t xml:space="preserve"> so that everyone is aware of the requirements and rules pertaining to </w:t>
      </w:r>
      <w:r w:rsidR="003B53D4">
        <w:t>A</w:t>
      </w:r>
      <w:r w:rsidR="009A6D47">
        <w:t xml:space="preserve">udit </w:t>
      </w:r>
      <w:r w:rsidR="003B53D4">
        <w:t>O</w:t>
      </w:r>
      <w:r w:rsidR="009A6D47">
        <w:t>bservers</w:t>
      </w:r>
      <w:r>
        <w:t>.</w:t>
      </w:r>
    </w:p>
    <w:p w14:paraId="1FFFE58F" w14:textId="77777777" w:rsidR="002A7A65" w:rsidRDefault="002A7A65" w:rsidP="002A7A65">
      <w:pPr>
        <w:pStyle w:val="Heading2"/>
      </w:pPr>
      <w:r>
        <w:t>Certification Bodies Notification (including exclusions taken)</w:t>
      </w:r>
    </w:p>
    <w:p w14:paraId="37166C0D" w14:textId="7EAEC416" w:rsidR="009A6D47" w:rsidRPr="009A6D47" w:rsidRDefault="009A6D47" w:rsidP="009A6D47">
      <w:pPr>
        <w:pStyle w:val="Heading2"/>
        <w:numPr>
          <w:ilvl w:val="0"/>
          <w:numId w:val="0"/>
        </w:numPr>
        <w:ind w:left="720"/>
      </w:pPr>
      <w:r>
        <w:t xml:space="preserve">A presentation was given on the number of Certification Bodies (CB) notifications that have been made to date.  These notifications are done at the request of the commodity task groups.  Also in the presentation was the number of exclusions to </w:t>
      </w:r>
      <w:r w:rsidR="009D72CF">
        <w:t>AS</w:t>
      </w:r>
      <w:r w:rsidR="006C3D80">
        <w:t xml:space="preserve">/EN/JISQ </w:t>
      </w:r>
      <w:r>
        <w:t>9100’s 7.5.2 ‘special process’ requirement.  It was discussed that some of the exclusions are valid, as not all Nadcap accredited suppliers perform a special process.</w:t>
      </w:r>
    </w:p>
    <w:p w14:paraId="723C050A" w14:textId="77777777" w:rsidR="009A6D47" w:rsidRDefault="009A6D47" w:rsidP="002A7A65">
      <w:pPr>
        <w:pStyle w:val="Heading2"/>
      </w:pPr>
      <w:r>
        <w:t>AQS Auditor training update/status</w:t>
      </w:r>
    </w:p>
    <w:p w14:paraId="039A3411" w14:textId="77777777" w:rsidR="009A6D47" w:rsidRDefault="0072726A" w:rsidP="009A6D47">
      <w:pPr>
        <w:pStyle w:val="Heading2"/>
        <w:numPr>
          <w:ilvl w:val="0"/>
          <w:numId w:val="0"/>
        </w:numPr>
        <w:ind w:left="720"/>
      </w:pPr>
      <w:r>
        <w:t>New auditor training stat</w:t>
      </w:r>
      <w:r w:rsidR="009A6D47">
        <w:t>istic</w:t>
      </w:r>
      <w:r>
        <w:t>s were presented.</w:t>
      </w:r>
      <w:r w:rsidR="009A6D47">
        <w:t xml:space="preserve">  These statistics are for the number of Auditor candidates that have gone through the AQS created training to qualify them to become AQS auditors for the Nadcap program.</w:t>
      </w:r>
      <w:r w:rsidR="003B4BE0">
        <w:t xml:space="preserve">  There is currently a RAIL item, with a team, that is revising the training to account for the new revision of </w:t>
      </w:r>
      <w:r w:rsidR="003B53D4">
        <w:t xml:space="preserve">the </w:t>
      </w:r>
      <w:r w:rsidR="003B4BE0">
        <w:t>AC7004 checklist</w:t>
      </w:r>
      <w:r w:rsidR="00041138">
        <w:t xml:space="preserve"> (see agenda item 17.0)</w:t>
      </w:r>
      <w:r w:rsidR="003B4BE0">
        <w:t>.</w:t>
      </w:r>
    </w:p>
    <w:p w14:paraId="4DCC2526" w14:textId="77777777" w:rsidR="0072726A" w:rsidRDefault="009A6D47" w:rsidP="009A6D47">
      <w:pPr>
        <w:pStyle w:val="Heading2"/>
      </w:pPr>
      <w:r>
        <w:t xml:space="preserve">Top </w:t>
      </w:r>
      <w:r w:rsidR="007C0BF6">
        <w:t xml:space="preserve">10 NCRs </w:t>
      </w:r>
    </w:p>
    <w:p w14:paraId="2BBA0CC1" w14:textId="77777777" w:rsidR="009A6D47" w:rsidRPr="009A6D47" w:rsidRDefault="005D20A1" w:rsidP="009A6D47">
      <w:pPr>
        <w:pStyle w:val="Body"/>
      </w:pPr>
      <w:r>
        <w:t>The Top 10 non-conformances (NCRs) were reviewed for the current revision of the AC7004 checklist.  The NCRs were reviewed as a total number and then also reviewed per year to see any trends.</w:t>
      </w:r>
    </w:p>
    <w:p w14:paraId="1B881BD0" w14:textId="77777777" w:rsidR="00E60AEA" w:rsidRDefault="00E60AEA" w:rsidP="00E60AEA">
      <w:pPr>
        <w:pStyle w:val="Heading1"/>
      </w:pPr>
      <w:r w:rsidRPr="00E60AEA">
        <w:t>AC 7004 -</w:t>
      </w:r>
      <w:r>
        <w:t xml:space="preserve"> OPEN</w:t>
      </w:r>
    </w:p>
    <w:p w14:paraId="4F9FA9EB" w14:textId="77777777" w:rsidR="005D20A1" w:rsidRDefault="005D20A1" w:rsidP="005D20A1">
      <w:pPr>
        <w:pStyle w:val="Heading2"/>
      </w:pPr>
      <w:r>
        <w:t>Checklist</w:t>
      </w:r>
    </w:p>
    <w:p w14:paraId="3B466E6B" w14:textId="77777777" w:rsidR="005D20A1" w:rsidRDefault="00975C63" w:rsidP="005D20A1">
      <w:pPr>
        <w:pStyle w:val="Heading2"/>
        <w:numPr>
          <w:ilvl w:val="0"/>
          <w:numId w:val="0"/>
        </w:numPr>
        <w:ind w:left="720"/>
      </w:pPr>
      <w:r>
        <w:t>Su</w:t>
      </w:r>
      <w:r w:rsidR="005D20A1">
        <w:t>san Frailey</w:t>
      </w:r>
      <w:r>
        <w:t xml:space="preserve"> led a </w:t>
      </w:r>
      <w:r w:rsidR="005D20A1">
        <w:t>discuss</w:t>
      </w:r>
      <w:r w:rsidR="003B53D4">
        <w:t>ion</w:t>
      </w:r>
      <w:r>
        <w:t xml:space="preserve"> to </w:t>
      </w:r>
      <w:r w:rsidR="005D20A1">
        <w:t>resolve the remaining</w:t>
      </w:r>
      <w:r>
        <w:t xml:space="preserve"> AC7004F draft comments.  Actions are recorded in the comment resolution spreadsheet</w:t>
      </w:r>
      <w:r w:rsidR="00007EAF">
        <w:t xml:space="preserve"> and the draft of the AC</w:t>
      </w:r>
      <w:r w:rsidR="005D20A1">
        <w:t>7004F document</w:t>
      </w:r>
      <w:r>
        <w:t>.</w:t>
      </w:r>
    </w:p>
    <w:p w14:paraId="1806D4BE" w14:textId="77777777" w:rsidR="005D20A1" w:rsidRDefault="005D20A1" w:rsidP="005D20A1">
      <w:pPr>
        <w:pStyle w:val="Heading2"/>
      </w:pPr>
      <w:r>
        <w:t>Handbook</w:t>
      </w:r>
    </w:p>
    <w:p w14:paraId="591C36A4" w14:textId="77777777" w:rsidR="005D20A1" w:rsidRDefault="005D20A1" w:rsidP="005D20A1">
      <w:pPr>
        <w:pStyle w:val="Heading2"/>
        <w:numPr>
          <w:ilvl w:val="0"/>
          <w:numId w:val="0"/>
        </w:numPr>
        <w:ind w:left="720"/>
      </w:pPr>
      <w:r>
        <w:t>The team is continuing to work on the handbook.  The handbook will be ready to be published when the AC7004 checklist is published.  All meeting participants were encouraged to review the handbook and make suggestions for improvements.</w:t>
      </w:r>
    </w:p>
    <w:p w14:paraId="2A692592" w14:textId="77777777" w:rsidR="005D20A1" w:rsidRDefault="005D20A1" w:rsidP="005D20A1">
      <w:pPr>
        <w:pStyle w:val="Heading2"/>
      </w:pPr>
      <w:r>
        <w:t>Comparison document</w:t>
      </w:r>
    </w:p>
    <w:p w14:paraId="1ED30C69" w14:textId="77777777" w:rsidR="005D20A1" w:rsidRDefault="005D20A1" w:rsidP="005D20A1">
      <w:pPr>
        <w:pStyle w:val="Body"/>
      </w:pPr>
      <w:r>
        <w:t>The comparison document was sent out to the AQS Task Group in early 2017.  Susan Frailey encouraged all voting members to scrutinize the document to ensure accuracy before it is published.</w:t>
      </w:r>
    </w:p>
    <w:p w14:paraId="218FDEBB" w14:textId="77777777" w:rsidR="005D20A1" w:rsidRDefault="005D20A1" w:rsidP="005D20A1">
      <w:pPr>
        <w:pStyle w:val="Heading2"/>
      </w:pPr>
      <w:r>
        <w:lastRenderedPageBreak/>
        <w:t>Auditor Conference</w:t>
      </w:r>
    </w:p>
    <w:p w14:paraId="27606375" w14:textId="77777777" w:rsidR="00E60AEA" w:rsidRDefault="009E5E1E" w:rsidP="005D20A1">
      <w:pPr>
        <w:pStyle w:val="Heading2"/>
        <w:numPr>
          <w:ilvl w:val="0"/>
          <w:numId w:val="0"/>
        </w:numPr>
        <w:ind w:left="720"/>
      </w:pPr>
      <w:r>
        <w:t xml:space="preserve">The Task Group discussed the need </w:t>
      </w:r>
      <w:r w:rsidR="00F31E97">
        <w:t xml:space="preserve">for </w:t>
      </w:r>
      <w:r>
        <w:t xml:space="preserve">extensive auditor training to take place </w:t>
      </w:r>
      <w:r w:rsidR="003B4BE0">
        <w:t>in October 2017</w:t>
      </w:r>
      <w:r>
        <w:t xml:space="preserve"> due to the changes in the AC7004 checklist requirements.</w:t>
      </w:r>
      <w:r w:rsidR="003B4BE0">
        <w:t xml:space="preserve">  This topic will be discussed in greater detail during the June 2017 Nadcap meeting.</w:t>
      </w:r>
      <w:r w:rsidR="00446F54">
        <w:br/>
      </w:r>
    </w:p>
    <w:p w14:paraId="37D449D5" w14:textId="77777777" w:rsidR="00E60AEA" w:rsidRDefault="00E60AEA" w:rsidP="00E60AEA">
      <w:pPr>
        <w:pStyle w:val="ActionItem"/>
      </w:pPr>
      <w:r>
        <w:t xml:space="preserve">ACTION </w:t>
      </w:r>
      <w:r w:rsidR="001649CF">
        <w:t>ITEM</w:t>
      </w:r>
      <w:r>
        <w:t>:</w:t>
      </w:r>
      <w:r w:rsidR="001649CF">
        <w:t xml:space="preserve"> Su</w:t>
      </w:r>
      <w:r w:rsidR="003B4BE0">
        <w:t>san</w:t>
      </w:r>
      <w:r w:rsidR="001649CF">
        <w:t xml:space="preserve"> Frailey to submit the AC7004F draft to NMC for </w:t>
      </w:r>
      <w:r w:rsidR="003B4BE0">
        <w:t>ballot.  (Due Date:</w:t>
      </w:r>
      <w:r w:rsidR="001649CF">
        <w:t xml:space="preserve"> 31</w:t>
      </w:r>
      <w:r w:rsidR="003B4BE0">
        <w:t>-</w:t>
      </w:r>
      <w:r w:rsidR="001649CF">
        <w:t>Mar</w:t>
      </w:r>
      <w:r w:rsidR="003B4BE0">
        <w:t>-</w:t>
      </w:r>
      <w:r w:rsidR="001649CF">
        <w:t xml:space="preserve"> 2017</w:t>
      </w:r>
      <w:r w:rsidR="003B4BE0">
        <w:t>)</w:t>
      </w:r>
    </w:p>
    <w:p w14:paraId="66215169" w14:textId="77777777" w:rsidR="00E60AEA" w:rsidRDefault="00E60AEA" w:rsidP="000D1E7C">
      <w:pPr>
        <w:pStyle w:val="Heading1"/>
      </w:pPr>
      <w:r w:rsidRPr="00E60AEA">
        <w:t>Review of Posted Items in eAuditNet (as NECESSARY) -</w:t>
      </w:r>
      <w:r>
        <w:t xml:space="preserve"> OPEN</w:t>
      </w:r>
    </w:p>
    <w:p w14:paraId="273D0B9A" w14:textId="77777777" w:rsidR="000D1E7C" w:rsidRDefault="00AF5B18" w:rsidP="00E60AEA">
      <w:pPr>
        <w:pStyle w:val="Body"/>
      </w:pPr>
      <w:r>
        <w:t xml:space="preserve">All items in the AQS public folder were reviewed.  </w:t>
      </w:r>
      <w:r w:rsidR="000D1E7C">
        <w:t xml:space="preserve">Auditor data from 2010 </w:t>
      </w:r>
      <w:r>
        <w:t>needs to be</w:t>
      </w:r>
      <w:r w:rsidR="000D1E7C">
        <w:t xml:space="preserve"> removed.</w:t>
      </w:r>
      <w:r w:rsidR="000D1E7C">
        <w:br/>
      </w:r>
    </w:p>
    <w:p w14:paraId="6BF2E058" w14:textId="77777777" w:rsidR="00E60AEA" w:rsidRDefault="00E60AEA" w:rsidP="00E60AEA">
      <w:pPr>
        <w:pStyle w:val="ActionItem"/>
      </w:pPr>
      <w:r>
        <w:t xml:space="preserve">ACTION </w:t>
      </w:r>
      <w:r w:rsidR="000D1E7C">
        <w:t>ITEM: Su</w:t>
      </w:r>
      <w:r w:rsidR="00AF5B18">
        <w:t>san</w:t>
      </w:r>
      <w:r w:rsidR="000D1E7C">
        <w:t xml:space="preserve"> Frailey to delete from eAuditNet those items identified above</w:t>
      </w:r>
      <w:r>
        <w:t xml:space="preserve"> (Due Date: </w:t>
      </w:r>
      <w:r w:rsidR="000D1E7C">
        <w:t>31</w:t>
      </w:r>
      <w:r>
        <w:t>-</w:t>
      </w:r>
      <w:r w:rsidR="000D1E7C">
        <w:t>M</w:t>
      </w:r>
      <w:r w:rsidR="00AF5B18">
        <w:t>ar</w:t>
      </w:r>
      <w:r>
        <w:t>-20</w:t>
      </w:r>
      <w:r w:rsidR="000D1E7C">
        <w:t>17</w:t>
      </w:r>
      <w:r>
        <w:t>)</w:t>
      </w:r>
    </w:p>
    <w:p w14:paraId="5F958228" w14:textId="77777777" w:rsidR="00E60AEA" w:rsidRDefault="00E60AEA" w:rsidP="00E60AEA">
      <w:pPr>
        <w:pStyle w:val="Heading1"/>
      </w:pPr>
      <w:r w:rsidRPr="00E60AEA">
        <w:t>AQS Newsletter</w:t>
      </w:r>
      <w:r>
        <w:t xml:space="preserve"> – OPEN</w:t>
      </w:r>
    </w:p>
    <w:p w14:paraId="05AF31D8" w14:textId="117AFC9D" w:rsidR="00E60AEA" w:rsidRDefault="000013A4" w:rsidP="00E60AEA">
      <w:pPr>
        <w:pStyle w:val="Body"/>
      </w:pPr>
      <w:r>
        <w:t xml:space="preserve">Scott </w:t>
      </w:r>
      <w:r w:rsidR="00C13CCD">
        <w:t xml:space="preserve">O’Connor described the </w:t>
      </w:r>
      <w:r w:rsidR="006C3D80">
        <w:t>process used by the Non-Destructive Task Group</w:t>
      </w:r>
      <w:r w:rsidR="00C13CCD">
        <w:t xml:space="preserve"> and his </w:t>
      </w:r>
      <w:r w:rsidR="006C3D80">
        <w:t xml:space="preserve">personal </w:t>
      </w:r>
      <w:r w:rsidR="00C13CCD">
        <w:t>process</w:t>
      </w:r>
      <w:r w:rsidR="006C3D80">
        <w:t>,</w:t>
      </w:r>
      <w:r w:rsidR="00C13CCD">
        <w:t xml:space="preserve"> within Honeywell</w:t>
      </w:r>
      <w:r w:rsidR="006C3D80">
        <w:t>,</w:t>
      </w:r>
      <w:r w:rsidR="00AF5B18">
        <w:t xml:space="preserve"> for publishing a newsletter</w:t>
      </w:r>
      <w:r w:rsidR="00C13CCD">
        <w:t>.</w:t>
      </w:r>
      <w:r w:rsidR="00AF5B18">
        <w:t xml:space="preserve">  The AQS Task Group n</w:t>
      </w:r>
      <w:r w:rsidR="00C13CCD">
        <w:t>eed</w:t>
      </w:r>
      <w:r w:rsidR="00AF5B18">
        <w:t>s</w:t>
      </w:r>
      <w:r w:rsidR="00C13CCD">
        <w:t xml:space="preserve"> commitments to provide content.  </w:t>
      </w:r>
      <w:r w:rsidR="00AF5B18">
        <w:t>The newsletter would</w:t>
      </w:r>
      <w:r w:rsidR="00C13CCD">
        <w:t xml:space="preserve"> be posted </w:t>
      </w:r>
      <w:r w:rsidR="00AF5B18">
        <w:t>in</w:t>
      </w:r>
      <w:r w:rsidR="00C13CCD">
        <w:t xml:space="preserve"> eAuditNet, </w:t>
      </w:r>
      <w:r w:rsidR="00AF5B18">
        <w:t xml:space="preserve">and </w:t>
      </w:r>
      <w:r w:rsidR="00C13CCD">
        <w:t xml:space="preserve">would be on </w:t>
      </w:r>
      <w:r w:rsidR="00AF5B18">
        <w:t xml:space="preserve">an </w:t>
      </w:r>
      <w:r w:rsidR="00C13CCD">
        <w:t xml:space="preserve">as-needed basis.  The group decided not to pursue a specific inclusion in the larger </w:t>
      </w:r>
      <w:r w:rsidR="00AF5B18">
        <w:t xml:space="preserve">Nadcap </w:t>
      </w:r>
      <w:r w:rsidR="00C13CCD">
        <w:t xml:space="preserve">program </w:t>
      </w:r>
      <w:r w:rsidR="00C01D4D">
        <w:t>n</w:t>
      </w:r>
      <w:r w:rsidR="00C13CCD">
        <w:t>ewsletter.</w:t>
      </w:r>
    </w:p>
    <w:p w14:paraId="2D17E1DE" w14:textId="77777777" w:rsidR="00E60AEA" w:rsidRDefault="00E60AEA" w:rsidP="00E60AEA">
      <w:pPr>
        <w:pStyle w:val="ActionItem"/>
      </w:pPr>
      <w:r>
        <w:t>ACTION I</w:t>
      </w:r>
      <w:r w:rsidR="00C13CCD">
        <w:t>TEM: Su</w:t>
      </w:r>
      <w:r w:rsidR="00AF5B18">
        <w:t>san</w:t>
      </w:r>
      <w:r w:rsidR="00C13CCD">
        <w:t xml:space="preserve"> Frailey to add the “Need for a Newsletter?” as a standing ag</w:t>
      </w:r>
      <w:r w:rsidR="00AD6949">
        <w:t xml:space="preserve">enda item.  </w:t>
      </w:r>
      <w:r w:rsidR="003B4BE0">
        <w:t>(</w:t>
      </w:r>
      <w:r w:rsidR="00AD6949">
        <w:t>Due Date: 31-Mar-201</w:t>
      </w:r>
      <w:r w:rsidR="00C13CCD">
        <w:t>7</w:t>
      </w:r>
      <w:r>
        <w:t>)</w:t>
      </w:r>
    </w:p>
    <w:p w14:paraId="0840D68C" w14:textId="3639C40A" w:rsidR="004423A4" w:rsidRDefault="004423A4" w:rsidP="004423A4">
      <w:pPr>
        <w:pStyle w:val="ActionItem"/>
      </w:pPr>
      <w:r>
        <w:t xml:space="preserve">ACTION ITEM: Scott O’Connor to assemble a team and develop an outline of the </w:t>
      </w:r>
      <w:r w:rsidR="00C01D4D">
        <w:t>n</w:t>
      </w:r>
      <w:r>
        <w:t>ewsletter (Due Date: 7-Jun-2017)</w:t>
      </w:r>
    </w:p>
    <w:p w14:paraId="3A73649E" w14:textId="77777777" w:rsidR="00E60AEA" w:rsidRDefault="00E60AEA" w:rsidP="00E60AEA">
      <w:pPr>
        <w:pStyle w:val="Heading1"/>
      </w:pPr>
      <w:r w:rsidRPr="00E60AEA">
        <w:t>Review of Procedure Changes</w:t>
      </w:r>
      <w:r>
        <w:t xml:space="preserve"> – OPEN</w:t>
      </w:r>
    </w:p>
    <w:p w14:paraId="77E7DE3B" w14:textId="77777777" w:rsidR="00E60AEA" w:rsidRDefault="00AF5B18" w:rsidP="00E60AEA">
      <w:pPr>
        <w:pStyle w:val="Body"/>
      </w:pPr>
      <w:r>
        <w:t>Susan Frailey</w:t>
      </w:r>
      <w:r w:rsidR="004423A4">
        <w:t xml:space="preserve"> went through the Summary of Procedure Changes</w:t>
      </w:r>
      <w:r w:rsidR="008907ED">
        <w:t xml:space="preserve"> presentation</w:t>
      </w:r>
      <w:r w:rsidR="004423A4">
        <w:t>.</w:t>
      </w:r>
    </w:p>
    <w:p w14:paraId="15457FA9" w14:textId="77777777" w:rsidR="00E60AEA" w:rsidRDefault="00E60AEA" w:rsidP="00E60AEA">
      <w:pPr>
        <w:pStyle w:val="Heading1"/>
      </w:pPr>
      <w:r w:rsidRPr="00E60AEA">
        <w:t>AQS Liaison Report Out</w:t>
      </w:r>
      <w:r>
        <w:t xml:space="preserve"> – OPEN</w:t>
      </w:r>
    </w:p>
    <w:p w14:paraId="263F448C" w14:textId="61228587" w:rsidR="00E60AEA" w:rsidRDefault="00F107A2" w:rsidP="00E60AEA">
      <w:pPr>
        <w:pStyle w:val="Body"/>
      </w:pPr>
      <w:r>
        <w:t>Scott O’Connor and David Day described the discussion and issues raised during the Liaison meeting of</w:t>
      </w:r>
      <w:r w:rsidR="00337E90">
        <w:t xml:space="preserve"> 21-Feb-2017</w:t>
      </w:r>
      <w:r w:rsidR="00F31E97">
        <w:t>:</w:t>
      </w:r>
    </w:p>
    <w:p w14:paraId="643573A4" w14:textId="04697A57" w:rsidR="00F107A2" w:rsidRPr="00BD46F7" w:rsidRDefault="00436CD4" w:rsidP="00E60AEA">
      <w:pPr>
        <w:pStyle w:val="Body"/>
      </w:pPr>
      <w:r w:rsidRPr="00BD46F7">
        <w:t xml:space="preserve">The liaison project was discussed.  This is the project to review commodity </w:t>
      </w:r>
      <w:r w:rsidR="00907A07" w:rsidRPr="00BD46F7">
        <w:t xml:space="preserve">checklists to assure questions are of effective compliance rather than existence of the </w:t>
      </w:r>
      <w:r w:rsidR="00AF5B18">
        <w:t>Quality Management System (</w:t>
      </w:r>
      <w:r w:rsidR="00907A07" w:rsidRPr="00BD46F7">
        <w:t>QMS</w:t>
      </w:r>
      <w:r w:rsidR="00AF5B18">
        <w:t>)</w:t>
      </w:r>
      <w:r w:rsidR="00907A07" w:rsidRPr="00BD46F7">
        <w:t>.  The members were asked to complete the initial review for concerns by</w:t>
      </w:r>
      <w:r w:rsidR="0021473B">
        <w:t xml:space="preserve"> 31-Mar-2017</w:t>
      </w:r>
      <w:r w:rsidR="00907A07" w:rsidRPr="00BD46F7">
        <w:t>.  This will allow the overall review to be presented back to the group in the June</w:t>
      </w:r>
      <w:r w:rsidR="00AF5B18">
        <w:t xml:space="preserve"> 2017 Nadcap</w:t>
      </w:r>
      <w:r w:rsidR="00907A07" w:rsidRPr="00BD46F7">
        <w:t xml:space="preserve"> meeting.</w:t>
      </w:r>
    </w:p>
    <w:p w14:paraId="71A25109" w14:textId="77777777" w:rsidR="00907A07" w:rsidRPr="00BD46F7" w:rsidRDefault="00907A07" w:rsidP="00E60AEA">
      <w:pPr>
        <w:pStyle w:val="Body"/>
      </w:pPr>
      <w:r w:rsidRPr="00BD46F7">
        <w:t xml:space="preserve">The </w:t>
      </w:r>
      <w:r w:rsidR="00AF5B18">
        <w:t>Heat Treat (</w:t>
      </w:r>
      <w:r w:rsidRPr="00BD46F7">
        <w:t>HT</w:t>
      </w:r>
      <w:r w:rsidR="00AF5B18">
        <w:t>)</w:t>
      </w:r>
      <w:r w:rsidRPr="00BD46F7">
        <w:t xml:space="preserve"> </w:t>
      </w:r>
      <w:r w:rsidR="00AF5B18">
        <w:t>T</w:t>
      </w:r>
      <w:r w:rsidRPr="00BD46F7">
        <w:t xml:space="preserve">ask </w:t>
      </w:r>
      <w:r w:rsidR="00AF5B18">
        <w:t>G</w:t>
      </w:r>
      <w:r w:rsidRPr="00BD46F7">
        <w:t xml:space="preserve">roup passed on that </w:t>
      </w:r>
      <w:r w:rsidR="00BD46F7" w:rsidRPr="00BD46F7">
        <w:t>AQS</w:t>
      </w:r>
      <w:r w:rsidRPr="00BD46F7">
        <w:t xml:space="preserve"> might need to address an issue </w:t>
      </w:r>
      <w:r w:rsidR="00BD46F7" w:rsidRPr="00BD46F7">
        <w:t>of an allegation of wrongdoing.</w:t>
      </w:r>
      <w:r w:rsidR="00AF5B18">
        <w:t xml:space="preserve"> This will be discussed during the closed session.</w:t>
      </w:r>
    </w:p>
    <w:p w14:paraId="7B0BCD23" w14:textId="77777777" w:rsidR="00BD46F7" w:rsidRPr="00BD46F7" w:rsidRDefault="00AF5B18" w:rsidP="00E60AEA">
      <w:pPr>
        <w:pStyle w:val="Body"/>
      </w:pPr>
      <w:r>
        <w:t>Measurement and Inspection (</w:t>
      </w:r>
      <w:r w:rsidR="00BD46F7" w:rsidRPr="00BD46F7">
        <w:t>M&amp;I</w:t>
      </w:r>
      <w:r>
        <w:t>) Task Group</w:t>
      </w:r>
      <w:r w:rsidR="00BD46F7" w:rsidRPr="00BD46F7">
        <w:t xml:space="preserve"> had a question on a supplier having Boeing QMS approval to support a commodity accreditation.  The group pointed to PD 1100 and stated that this proposal would be unacceptable.</w:t>
      </w:r>
    </w:p>
    <w:p w14:paraId="0EC9B61F" w14:textId="77777777" w:rsidR="00BD46F7" w:rsidRPr="00F107A2" w:rsidRDefault="00AF5B18" w:rsidP="00E60AEA">
      <w:pPr>
        <w:pStyle w:val="Body"/>
        <w:rPr>
          <w:color w:val="FF0000"/>
        </w:rPr>
      </w:pPr>
      <w:r>
        <w:t>Electronics (</w:t>
      </w:r>
      <w:r w:rsidR="00BD46F7" w:rsidRPr="00BD46F7">
        <w:t>ETG</w:t>
      </w:r>
      <w:r>
        <w:t>)</w:t>
      </w:r>
      <w:r w:rsidR="00BD46F7" w:rsidRPr="00BD46F7">
        <w:t xml:space="preserve"> had a question if a supplier could use an external standard as a “work instruction?”  The consensus of the group was that this would be insufficient to assure the operator had all the needed information to perform the process.</w:t>
      </w:r>
    </w:p>
    <w:p w14:paraId="6B5C8738" w14:textId="77777777" w:rsidR="00E60AEA" w:rsidRDefault="00E60AEA" w:rsidP="00E60AEA">
      <w:pPr>
        <w:pStyle w:val="Heading1"/>
      </w:pPr>
      <w:r w:rsidRPr="00E60AEA">
        <w:lastRenderedPageBreak/>
        <w:t>Failure Criteria Review</w:t>
      </w:r>
      <w:r>
        <w:t xml:space="preserve"> – OPEN</w:t>
      </w:r>
    </w:p>
    <w:p w14:paraId="57BC65E1" w14:textId="77777777" w:rsidR="00E60AEA" w:rsidRDefault="00AF5B18" w:rsidP="00E60AEA">
      <w:pPr>
        <w:pStyle w:val="Body"/>
      </w:pPr>
      <w:r>
        <w:t>Susan Frailey</w:t>
      </w:r>
      <w:r w:rsidR="00F107A2">
        <w:t xml:space="preserve"> led a discussion on adjusting or maintaining the failure criteria.</w:t>
      </w:r>
    </w:p>
    <w:p w14:paraId="719D505D" w14:textId="5D871D77" w:rsidR="00E60AEA" w:rsidRDefault="00E60AEA" w:rsidP="00E60AEA">
      <w:pPr>
        <w:pStyle w:val="Body"/>
      </w:pPr>
      <w:r>
        <w:t xml:space="preserve">Motion made by </w:t>
      </w:r>
      <w:r w:rsidR="00F107A2">
        <w:t xml:space="preserve">David Day </w:t>
      </w:r>
      <w:r>
        <w:t>and sec</w:t>
      </w:r>
      <w:r w:rsidR="00F107A2">
        <w:t>onded by Robin Borelli</w:t>
      </w:r>
      <w:r>
        <w:t xml:space="preserve"> to </w:t>
      </w:r>
      <w:r w:rsidR="00F107A2">
        <w:t>maintain the failure criteria at the current levels.  Motion passed</w:t>
      </w:r>
    </w:p>
    <w:p w14:paraId="3B20E1A4" w14:textId="77777777" w:rsidR="00D745FB" w:rsidRDefault="00D745FB" w:rsidP="00D745FB">
      <w:pPr>
        <w:pStyle w:val="Heading1"/>
      </w:pPr>
      <w:r w:rsidRPr="00D745FB">
        <w:t>Guidance for QMS issues</w:t>
      </w:r>
      <w:r>
        <w:t xml:space="preserve"> – OPEN</w:t>
      </w:r>
    </w:p>
    <w:p w14:paraId="777D331B" w14:textId="77777777" w:rsidR="00D745FB" w:rsidRDefault="00182C15" w:rsidP="00D745FB">
      <w:pPr>
        <w:pStyle w:val="Body"/>
      </w:pPr>
      <w:r>
        <w:t>This issue was discussed in October 2016</w:t>
      </w:r>
      <w:r w:rsidR="00041138">
        <w:t xml:space="preserve"> and a draft document was written</w:t>
      </w:r>
      <w:r>
        <w:t xml:space="preserve">.  The </w:t>
      </w:r>
      <w:r w:rsidR="00041138">
        <w:t>draft document</w:t>
      </w:r>
      <w:r>
        <w:t xml:space="preserve"> was reviewed and modified slightly and approved through consensus</w:t>
      </w:r>
      <w:r w:rsidR="00BC1301">
        <w:t>.</w:t>
      </w:r>
    </w:p>
    <w:p w14:paraId="191E8D8B" w14:textId="306A98B1" w:rsidR="00D745FB" w:rsidRDefault="00BC1301" w:rsidP="00D745FB">
      <w:pPr>
        <w:pStyle w:val="ActionItem"/>
      </w:pPr>
      <w:r>
        <w:t>ACTION ITEM: Su</w:t>
      </w:r>
      <w:r w:rsidR="00AF5B18">
        <w:t>san</w:t>
      </w:r>
      <w:r>
        <w:t xml:space="preserve"> Frailey to provide this guidance to other Staff Engineers for dissemination to </w:t>
      </w:r>
      <w:r w:rsidR="00041138">
        <w:t>S</w:t>
      </w:r>
      <w:r>
        <w:t xml:space="preserve">ubscriber voters as when to request Certification Body or AQS </w:t>
      </w:r>
      <w:r w:rsidR="006C3D80">
        <w:t>Task Group</w:t>
      </w:r>
      <w:r>
        <w:t>) notification.</w:t>
      </w:r>
      <w:r w:rsidR="00D745FB">
        <w:t xml:space="preserve"> (Due Date: </w:t>
      </w:r>
      <w:r>
        <w:t>31</w:t>
      </w:r>
      <w:r w:rsidR="00D745FB">
        <w:t>-</w:t>
      </w:r>
      <w:r>
        <w:t>Mar</w:t>
      </w:r>
      <w:r w:rsidR="00D745FB">
        <w:t>-20</w:t>
      </w:r>
      <w:r>
        <w:t>17</w:t>
      </w:r>
      <w:r w:rsidR="00D745FB">
        <w:t>)</w:t>
      </w:r>
    </w:p>
    <w:p w14:paraId="4428D55A" w14:textId="77777777" w:rsidR="00D745FB" w:rsidRDefault="00D745FB" w:rsidP="00D745FB">
      <w:pPr>
        <w:pStyle w:val="Heading1"/>
      </w:pPr>
      <w:bookmarkStart w:id="31" w:name="_Toc350939643"/>
      <w:bookmarkStart w:id="32" w:name="_Toc350939720"/>
      <w:bookmarkStart w:id="33" w:name="_Toc350939810"/>
      <w:bookmarkStart w:id="34" w:name="_Toc350939903"/>
      <w:bookmarkStart w:id="35" w:name="_Toc350940018"/>
      <w:bookmarkStart w:id="36" w:name="_Toc350940241"/>
      <w:bookmarkStart w:id="37" w:name="_Toc350940817"/>
      <w:bookmarkStart w:id="38" w:name="_Toc350940960"/>
      <w:bookmarkStart w:id="39" w:name="_Toc350941307"/>
      <w:bookmarkStart w:id="40" w:name="_Toc350941435"/>
      <w:bookmarkStart w:id="41" w:name="_Toc350942194"/>
      <w:bookmarkStart w:id="42" w:name="_Toc358702305"/>
      <w:bookmarkStart w:id="43" w:name="_Toc358702766"/>
      <w:bookmarkStart w:id="44" w:name="_Toc358702870"/>
      <w:bookmarkStart w:id="45" w:name="_Toc360168692"/>
      <w:bookmarkStart w:id="46" w:name="_Toc360169403"/>
      <w:bookmarkStart w:id="47" w:name="_Toc360170476"/>
      <w:bookmarkStart w:id="48" w:name="_Toc360194028"/>
      <w:bookmarkStart w:id="49" w:name="_Toc360194143"/>
      <w:bookmarkStart w:id="50" w:name="_Toc368986577"/>
      <w:bookmarkStart w:id="51" w:name="_Toc380153418"/>
      <w:bookmarkStart w:id="52" w:name="_Toc381686493"/>
      <w:bookmarkStart w:id="53" w:name="_Toc381686912"/>
      <w:bookmarkStart w:id="54" w:name="_Toc381691532"/>
      <w:bookmarkStart w:id="55" w:name="_Toc390421273"/>
      <w:bookmarkStart w:id="56" w:name="_Toc390425548"/>
      <w:bookmarkStart w:id="57" w:name="_Toc390432943"/>
      <w:bookmarkStart w:id="58" w:name="_Toc390433051"/>
      <w:bookmarkStart w:id="59" w:name="_Toc390433154"/>
      <w:bookmarkStart w:id="60" w:name="_Toc390433359"/>
      <w:bookmarkStart w:id="61" w:name="_Toc390433461"/>
      <w:bookmarkStart w:id="62" w:name="_Toc390433563"/>
      <w:bookmarkStart w:id="63" w:name="_Toc401912109"/>
      <w:bookmarkStart w:id="64" w:name="_Toc403025798"/>
      <w:bookmarkStart w:id="65" w:name="_Toc413649214"/>
      <w:bookmarkStart w:id="66" w:name="_Toc423515008"/>
      <w:bookmarkStart w:id="67" w:name="_Toc423515118"/>
      <w:bookmarkStart w:id="68" w:name="_Toc433807235"/>
      <w:bookmarkStart w:id="69" w:name="_Toc442782481"/>
      <w:bookmarkStart w:id="70" w:name="_Toc453067839"/>
      <w:bookmarkStart w:id="71" w:name="_Toc453072059"/>
      <w:bookmarkStart w:id="72" w:name="_Toc465680434"/>
      <w:bookmarkStart w:id="73" w:name="_Toc466027052"/>
      <w:bookmarkStart w:id="74" w:name="_Toc466379370"/>
      <w:bookmarkStart w:id="75" w:name="_Toc466379673"/>
      <w:bookmarkStart w:id="76" w:name="_Toc466380042"/>
      <w:bookmarkStart w:id="77" w:name="_Toc466380213"/>
      <w:bookmarkStart w:id="78" w:name="_Toc466455028"/>
      <w:bookmarkStart w:id="79" w:name="_Toc466455130"/>
      <w:bookmarkStart w:id="80" w:name="_Toc466455242"/>
      <w:bookmarkStart w:id="81" w:name="_Toc471218702"/>
      <w:bookmarkStart w:id="82" w:name="_Toc471219028"/>
      <w:bookmarkStart w:id="83" w:name="_Toc471219240"/>
      <w:bookmarkStart w:id="84" w:name="_Toc471220508"/>
      <w:r>
        <w:t>NSPS (Non-Special Process Suppliers)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 Update</w:t>
      </w:r>
      <w:bookmarkEnd w:id="73"/>
      <w:bookmarkEnd w:id="74"/>
      <w:bookmarkEnd w:id="75"/>
      <w:bookmarkEnd w:id="76"/>
      <w:bookmarkEnd w:id="77"/>
      <w:bookmarkEnd w:id="78"/>
      <w:bookmarkEnd w:id="79"/>
      <w:bookmarkEnd w:id="80"/>
      <w:bookmarkEnd w:id="81"/>
      <w:bookmarkEnd w:id="82"/>
      <w:bookmarkEnd w:id="83"/>
      <w:bookmarkEnd w:id="84"/>
      <w:r>
        <w:t xml:space="preserve"> – OPEN</w:t>
      </w:r>
    </w:p>
    <w:p w14:paraId="6D8DBEF3" w14:textId="77777777" w:rsidR="00D745FB" w:rsidRDefault="00EE09F4" w:rsidP="00D745FB">
      <w:pPr>
        <w:pStyle w:val="Body"/>
      </w:pPr>
      <w:r>
        <w:t xml:space="preserve">Frank McManus provided an update on the topic.  Presentation </w:t>
      </w:r>
      <w:r w:rsidR="00041138">
        <w:t>attached in meeting presentations in eAuditNet – AQS public folder.</w:t>
      </w:r>
    </w:p>
    <w:p w14:paraId="71E367A3" w14:textId="77777777" w:rsidR="00D745FB" w:rsidRDefault="00D745FB" w:rsidP="00D745FB">
      <w:pPr>
        <w:pStyle w:val="Heading1"/>
      </w:pPr>
      <w:bookmarkStart w:id="85" w:name="_Toc466027054"/>
      <w:bookmarkStart w:id="86" w:name="_Toc466379372"/>
      <w:bookmarkStart w:id="87" w:name="_Toc466379675"/>
      <w:bookmarkStart w:id="88" w:name="_Toc466380044"/>
      <w:bookmarkStart w:id="89" w:name="_Toc466380215"/>
      <w:bookmarkStart w:id="90" w:name="_Toc466455030"/>
      <w:bookmarkStart w:id="91" w:name="_Toc466455132"/>
      <w:bookmarkStart w:id="92" w:name="_Toc466455244"/>
      <w:bookmarkStart w:id="93" w:name="_Toc471218704"/>
      <w:bookmarkStart w:id="94" w:name="_Toc471219030"/>
      <w:bookmarkStart w:id="95" w:name="_Toc471219242"/>
      <w:bookmarkStart w:id="96" w:name="_Toc471220510"/>
      <w:r>
        <w:t>Exclusions taken in 9100</w:t>
      </w:r>
      <w:bookmarkEnd w:id="85"/>
      <w:bookmarkEnd w:id="86"/>
      <w:bookmarkEnd w:id="87"/>
      <w:bookmarkEnd w:id="88"/>
      <w:bookmarkEnd w:id="89"/>
      <w:bookmarkEnd w:id="90"/>
      <w:bookmarkEnd w:id="91"/>
      <w:bookmarkEnd w:id="92"/>
      <w:bookmarkEnd w:id="93"/>
      <w:bookmarkEnd w:id="94"/>
      <w:bookmarkEnd w:id="95"/>
      <w:bookmarkEnd w:id="96"/>
      <w:r>
        <w:t xml:space="preserve"> – OPEN</w:t>
      </w:r>
    </w:p>
    <w:p w14:paraId="3C0BBFB1" w14:textId="77777777" w:rsidR="00D745FB" w:rsidRDefault="00367C28" w:rsidP="00D745FB">
      <w:pPr>
        <w:pStyle w:val="Body"/>
      </w:pPr>
      <w:r>
        <w:t>The group concurred that any clauses determined to be Not Applicable and recorded in OASIS will be compared to the allowable NA responses in AC7004.</w:t>
      </w:r>
    </w:p>
    <w:p w14:paraId="29C5BD4C" w14:textId="0470857D" w:rsidR="00D745FB" w:rsidRDefault="00D745FB" w:rsidP="00D745FB">
      <w:pPr>
        <w:pStyle w:val="ActionItem"/>
      </w:pPr>
      <w:r>
        <w:t xml:space="preserve">ACTION ITEM:  </w:t>
      </w:r>
      <w:r w:rsidR="00EE1EC9">
        <w:t>Su</w:t>
      </w:r>
      <w:r w:rsidR="00041138">
        <w:t>san</w:t>
      </w:r>
      <w:r w:rsidR="00EE1EC9">
        <w:t xml:space="preserve"> Frailey to work with PRI</w:t>
      </w:r>
      <w:r w:rsidR="00041138">
        <w:t xml:space="preserve"> </w:t>
      </w:r>
      <w:r w:rsidR="00337E90">
        <w:t>Informatics</w:t>
      </w:r>
      <w:r w:rsidR="00EE1EC9">
        <w:t xml:space="preserve"> to determine if a recording of the allowable “Not Applicable Clauses” can be recorded in eAuditNet</w:t>
      </w:r>
      <w:r w:rsidR="00AD6949">
        <w:t xml:space="preserve"> for those organizations. </w:t>
      </w:r>
      <w:r w:rsidR="00EE1EC9">
        <w:t xml:space="preserve"> </w:t>
      </w:r>
      <w:r w:rsidR="00041138">
        <w:t>(</w:t>
      </w:r>
      <w:r>
        <w:t xml:space="preserve">Due Date: </w:t>
      </w:r>
      <w:r w:rsidR="00EE1EC9">
        <w:t>31-May</w:t>
      </w:r>
      <w:r>
        <w:t>-20</w:t>
      </w:r>
      <w:r w:rsidR="00EE1EC9">
        <w:t>17</w:t>
      </w:r>
      <w:r w:rsidR="00041138">
        <w:t>)</w:t>
      </w:r>
    </w:p>
    <w:p w14:paraId="21FBD7D7" w14:textId="77777777" w:rsidR="00EE1EC9" w:rsidRDefault="00EE1EC9" w:rsidP="00EE1EC9">
      <w:pPr>
        <w:pStyle w:val="ActionItem"/>
      </w:pPr>
      <w:r>
        <w:t>ACTION ITEM: Su</w:t>
      </w:r>
      <w:r w:rsidR="00041138">
        <w:t>san</w:t>
      </w:r>
      <w:r>
        <w:t xml:space="preserve"> Frailey to work with </w:t>
      </w:r>
      <w:r w:rsidR="00041138">
        <w:t xml:space="preserve">the document owner of PD1100 </w:t>
      </w:r>
      <w:r>
        <w:t xml:space="preserve">to incorporate the </w:t>
      </w:r>
      <w:proofErr w:type="gramStart"/>
      <w:r w:rsidR="00041138">
        <w:t>suggest</w:t>
      </w:r>
      <w:r w:rsidR="0021473B">
        <w:t xml:space="preserve">ed </w:t>
      </w:r>
      <w:r w:rsidR="00041138">
        <w:t xml:space="preserve"> </w:t>
      </w:r>
      <w:r>
        <w:t>wording</w:t>
      </w:r>
      <w:proofErr w:type="gramEnd"/>
      <w:r>
        <w:t xml:space="preserve"> as noted</w:t>
      </w:r>
      <w:r w:rsidR="00041138">
        <w:t xml:space="preserve"> above</w:t>
      </w:r>
      <w:r>
        <w:t xml:space="preserve">. </w:t>
      </w:r>
      <w:r w:rsidR="00041138">
        <w:t>(</w:t>
      </w:r>
      <w:r>
        <w:t>Due Date: 31-May 2017</w:t>
      </w:r>
      <w:r w:rsidR="00041138">
        <w:t>)</w:t>
      </w:r>
      <w:r w:rsidR="00F45458">
        <w:t xml:space="preserve"> Completed during the meeting</w:t>
      </w:r>
    </w:p>
    <w:p w14:paraId="559414AB" w14:textId="77777777" w:rsidR="00D745FB" w:rsidRDefault="00D745FB" w:rsidP="00D745FB">
      <w:pPr>
        <w:pStyle w:val="Heading1"/>
      </w:pPr>
      <w:bookmarkStart w:id="97" w:name="_Toc466380048"/>
      <w:bookmarkStart w:id="98" w:name="_Toc466380219"/>
      <w:bookmarkStart w:id="99" w:name="_Toc466455034"/>
      <w:bookmarkStart w:id="100" w:name="_Toc466455136"/>
      <w:bookmarkStart w:id="101" w:name="_Toc466455248"/>
      <w:bookmarkStart w:id="102" w:name="_Toc471218708"/>
      <w:bookmarkStart w:id="103" w:name="_Toc471219034"/>
      <w:bookmarkStart w:id="104" w:name="_Toc471219246"/>
      <w:bookmarkStart w:id="105" w:name="_Toc471220514"/>
      <w:r>
        <w:t>Planning and Operations (P&amp;O) Report Out</w:t>
      </w:r>
      <w:bookmarkEnd w:id="97"/>
      <w:bookmarkEnd w:id="98"/>
      <w:bookmarkEnd w:id="99"/>
      <w:bookmarkEnd w:id="100"/>
      <w:bookmarkEnd w:id="101"/>
      <w:bookmarkEnd w:id="102"/>
      <w:bookmarkEnd w:id="103"/>
      <w:bookmarkEnd w:id="104"/>
      <w:bookmarkEnd w:id="105"/>
      <w:r>
        <w:t xml:space="preserve"> – OPEN</w:t>
      </w:r>
    </w:p>
    <w:p w14:paraId="2CE9BB7D" w14:textId="77777777" w:rsidR="00D745FB" w:rsidRDefault="00EE1EC9" w:rsidP="00D745FB">
      <w:pPr>
        <w:pStyle w:val="Body"/>
      </w:pPr>
      <w:r>
        <w:t>Scott O’Connor reviewed the discussions that occurred during the previous evening’s meeting.</w:t>
      </w:r>
    </w:p>
    <w:p w14:paraId="1DCA7C4F" w14:textId="77777777" w:rsidR="00D745FB" w:rsidRDefault="00D745FB" w:rsidP="00D745FB">
      <w:pPr>
        <w:pStyle w:val="Heading1"/>
      </w:pPr>
      <w:bookmarkStart w:id="106" w:name="_Toc466455036"/>
      <w:bookmarkStart w:id="107" w:name="_Toc466455138"/>
      <w:bookmarkStart w:id="108" w:name="_Toc466455250"/>
      <w:bookmarkStart w:id="109" w:name="_Toc471218710"/>
      <w:bookmarkStart w:id="110" w:name="_Toc471219036"/>
      <w:bookmarkStart w:id="111" w:name="_Toc471219248"/>
      <w:bookmarkStart w:id="112" w:name="_Toc471220516"/>
      <w:r w:rsidRPr="00D745FB">
        <w:t>Auditor Testing Material</w:t>
      </w:r>
      <w:bookmarkEnd w:id="106"/>
      <w:bookmarkEnd w:id="107"/>
      <w:bookmarkEnd w:id="108"/>
      <w:bookmarkEnd w:id="109"/>
      <w:bookmarkEnd w:id="110"/>
      <w:bookmarkEnd w:id="111"/>
      <w:bookmarkEnd w:id="112"/>
      <w:r>
        <w:t xml:space="preserve"> – OPEN</w:t>
      </w:r>
    </w:p>
    <w:p w14:paraId="7C0FAAA1" w14:textId="77777777" w:rsidR="00D745FB" w:rsidRDefault="00041138" w:rsidP="00D745FB">
      <w:pPr>
        <w:pStyle w:val="Body"/>
      </w:pPr>
      <w:r>
        <w:t>Susan Frailey</w:t>
      </w:r>
      <w:r w:rsidR="00CC4EB5">
        <w:t xml:space="preserve"> led a discussion on creating additional questions to be used when initially qualifying an AQS auditor that has entered the Nadcap program without all the prerequisites.</w:t>
      </w:r>
    </w:p>
    <w:p w14:paraId="0011CAB8" w14:textId="77777777" w:rsidR="0099688D" w:rsidRDefault="0099688D" w:rsidP="00D745FB">
      <w:pPr>
        <w:pStyle w:val="Body"/>
      </w:pPr>
      <w:r>
        <w:t>The existing questions need to be updated as they refer to AC7004E.</w:t>
      </w:r>
    </w:p>
    <w:p w14:paraId="459A9B6F" w14:textId="77777777" w:rsidR="00D745FB" w:rsidRDefault="0099688D" w:rsidP="00D745FB">
      <w:pPr>
        <w:pStyle w:val="ActionItem"/>
      </w:pPr>
      <w:r>
        <w:t>ACTION ITEM: Su</w:t>
      </w:r>
      <w:r w:rsidR="00041138">
        <w:t>san</w:t>
      </w:r>
      <w:r>
        <w:t xml:space="preserve"> Frailey to send the current test questions, scenarios, etc. to Scott O’Connor to distribute to his team. </w:t>
      </w:r>
      <w:r w:rsidR="00041138">
        <w:t>(</w:t>
      </w:r>
      <w:r w:rsidR="00D745FB">
        <w:t xml:space="preserve">Due Date: </w:t>
      </w:r>
      <w:r>
        <w:t>28</w:t>
      </w:r>
      <w:r w:rsidR="00D745FB">
        <w:t>-</w:t>
      </w:r>
      <w:r>
        <w:t>Feb</w:t>
      </w:r>
      <w:r w:rsidR="00D745FB">
        <w:t>-20</w:t>
      </w:r>
      <w:r>
        <w:t>17</w:t>
      </w:r>
      <w:r w:rsidR="00D745FB">
        <w:t>)</w:t>
      </w:r>
      <w:r w:rsidR="00AD6949">
        <w:t xml:space="preserve"> Completed during meeting</w:t>
      </w:r>
    </w:p>
    <w:p w14:paraId="5749B9B5" w14:textId="77777777" w:rsidR="0099688D" w:rsidRDefault="0099688D" w:rsidP="0099688D">
      <w:pPr>
        <w:pStyle w:val="ActionItem"/>
      </w:pPr>
      <w:r>
        <w:t xml:space="preserve">ACTION ITEM: Scott O’Connor and his team are to have the </w:t>
      </w:r>
      <w:r w:rsidR="00AD6949">
        <w:t xml:space="preserve">auditor candidate testing </w:t>
      </w:r>
      <w:r>
        <w:t xml:space="preserve">material ready to present </w:t>
      </w:r>
      <w:r w:rsidR="00AD6949">
        <w:t xml:space="preserve">at </w:t>
      </w:r>
      <w:r>
        <w:t xml:space="preserve">the </w:t>
      </w:r>
      <w:r w:rsidR="00041138">
        <w:t>June 2017 Nadcap</w:t>
      </w:r>
      <w:r>
        <w:t xml:space="preserve"> meeting.</w:t>
      </w:r>
      <w:r w:rsidR="00E56F2A">
        <w:t xml:space="preserve">  They will have interim meeting</w:t>
      </w:r>
      <w:r w:rsidR="00AD6949">
        <w:t>(</w:t>
      </w:r>
      <w:r w:rsidR="00E56F2A">
        <w:t>s</w:t>
      </w:r>
      <w:r w:rsidR="00AD6949">
        <w:t>)</w:t>
      </w:r>
      <w:r w:rsidR="00E56F2A">
        <w:t xml:space="preserve"> to assure success. </w:t>
      </w:r>
      <w:r w:rsidR="00041138">
        <w:t>(</w:t>
      </w:r>
      <w:r>
        <w:t xml:space="preserve">Due Date: </w:t>
      </w:r>
      <w:r w:rsidR="00E56F2A">
        <w:t>31-May</w:t>
      </w:r>
      <w:r>
        <w:t>-20</w:t>
      </w:r>
      <w:r w:rsidR="00E56F2A">
        <w:t>17</w:t>
      </w:r>
      <w:r w:rsidR="00041138">
        <w:t>)</w:t>
      </w:r>
    </w:p>
    <w:p w14:paraId="426627B3" w14:textId="77777777" w:rsidR="00D745FB" w:rsidRDefault="00D745FB" w:rsidP="00D745FB">
      <w:pPr>
        <w:pStyle w:val="Heading1"/>
      </w:pPr>
      <w:bookmarkStart w:id="113" w:name="_Toc466455038"/>
      <w:bookmarkStart w:id="114" w:name="_Toc466455140"/>
      <w:bookmarkStart w:id="115" w:name="_Toc466455252"/>
      <w:bookmarkStart w:id="116" w:name="_Toc471218712"/>
      <w:bookmarkStart w:id="117" w:name="_Toc471219038"/>
      <w:bookmarkStart w:id="118" w:name="_Toc471219250"/>
      <w:bookmarkStart w:id="119" w:name="_Toc471220518"/>
      <w:r w:rsidRPr="00D745FB">
        <w:lastRenderedPageBreak/>
        <w:t>New Business</w:t>
      </w:r>
      <w:bookmarkEnd w:id="113"/>
      <w:bookmarkEnd w:id="114"/>
      <w:bookmarkEnd w:id="115"/>
      <w:bookmarkEnd w:id="116"/>
      <w:bookmarkEnd w:id="117"/>
      <w:bookmarkEnd w:id="118"/>
      <w:bookmarkEnd w:id="119"/>
      <w:r>
        <w:t xml:space="preserve"> – OPEN</w:t>
      </w:r>
    </w:p>
    <w:p w14:paraId="640DDAC9" w14:textId="77777777" w:rsidR="001D735B" w:rsidRDefault="001D735B" w:rsidP="00041138">
      <w:pPr>
        <w:pStyle w:val="Heading2"/>
      </w:pPr>
      <w:r>
        <w:t>Susan Frailey</w:t>
      </w:r>
      <w:r w:rsidR="00E56F2A">
        <w:t xml:space="preserve"> presented a change in the AQS certificate issuance process.</w:t>
      </w:r>
      <w:r w:rsidR="002D3EF5">
        <w:t xml:space="preserve">  AQS will no longer withhold certification pending commodity certificate.  If there is a commodity issue, the AQS certificate can be withdrawn</w:t>
      </w:r>
      <w:r>
        <w:t xml:space="preserve"> or suspended, as necessary</w:t>
      </w:r>
      <w:r w:rsidR="002D3EF5">
        <w:t>.</w:t>
      </w:r>
    </w:p>
    <w:p w14:paraId="028F4C48" w14:textId="6BBDAEF3" w:rsidR="00041138" w:rsidRDefault="002D3EF5" w:rsidP="00041138">
      <w:pPr>
        <w:pStyle w:val="Heading2"/>
      </w:pPr>
      <w:r>
        <w:t xml:space="preserve">There was a straw vote on attendance in Asia.  The </w:t>
      </w:r>
      <w:r w:rsidR="001D735B">
        <w:t>S</w:t>
      </w:r>
      <w:r>
        <w:t xml:space="preserve">ubscribers concurred that there would be a quorum.  The </w:t>
      </w:r>
      <w:r w:rsidR="0021473B">
        <w:t>S</w:t>
      </w:r>
      <w:r>
        <w:t>uppliers in the room might not be able to</w:t>
      </w:r>
      <w:r w:rsidR="00D06D14">
        <w:t xml:space="preserve"> </w:t>
      </w:r>
      <w:r>
        <w:t>attend.</w:t>
      </w:r>
    </w:p>
    <w:p w14:paraId="4E6E11EA" w14:textId="77777777" w:rsidR="00D745FB" w:rsidRDefault="002D3EF5" w:rsidP="00041138">
      <w:pPr>
        <w:pStyle w:val="Heading2"/>
      </w:pPr>
      <w:r>
        <w:t xml:space="preserve">Johanna </w:t>
      </w:r>
      <w:r w:rsidR="00D06D14">
        <w:t>Lisa asked a question on a “closed” NCR from an internal audit.  The requirement is complete containment even if long term corrections are not complete. Containment assures compliance to requirements.</w:t>
      </w:r>
    </w:p>
    <w:p w14:paraId="6FB21AD8" w14:textId="77777777" w:rsidR="00D06D14" w:rsidRDefault="009E54ED" w:rsidP="00041138">
      <w:pPr>
        <w:pStyle w:val="Heading2"/>
      </w:pPr>
      <w:r>
        <w:t xml:space="preserve">Auditor training will include a counterfeit part section to assure that we reduce the incidence of NCRs that are </w:t>
      </w:r>
      <w:r w:rsidR="001D735B">
        <w:t>not valid.</w:t>
      </w:r>
    </w:p>
    <w:p w14:paraId="1EBCC356" w14:textId="77777777" w:rsidR="00D745FB" w:rsidRPr="00D745FB" w:rsidRDefault="00D745FB" w:rsidP="00D745FB">
      <w:pPr>
        <w:pStyle w:val="Heading1"/>
      </w:pPr>
      <w:bookmarkStart w:id="120" w:name="_Toc466455040"/>
      <w:bookmarkStart w:id="121" w:name="_Toc466455142"/>
      <w:bookmarkStart w:id="122" w:name="_Toc466455254"/>
      <w:bookmarkStart w:id="123" w:name="_Toc471218714"/>
      <w:bookmarkStart w:id="124" w:name="_Toc471219040"/>
      <w:bookmarkStart w:id="125" w:name="_Toc471219252"/>
      <w:bookmarkStart w:id="126" w:name="_Toc471220520"/>
      <w:r w:rsidRPr="00D745FB">
        <w:t>Review of Action Items and Agenda Items for Next Meeting</w:t>
      </w:r>
      <w:bookmarkEnd w:id="120"/>
      <w:bookmarkEnd w:id="121"/>
      <w:bookmarkEnd w:id="122"/>
      <w:bookmarkEnd w:id="123"/>
      <w:bookmarkEnd w:id="124"/>
      <w:bookmarkEnd w:id="125"/>
      <w:bookmarkEnd w:id="126"/>
      <w:r>
        <w:t xml:space="preserve"> - OPEN</w:t>
      </w:r>
    </w:p>
    <w:p w14:paraId="4A9E7F40" w14:textId="43AE51D1" w:rsidR="00D745FB" w:rsidRDefault="00F45458" w:rsidP="00D745FB">
      <w:pPr>
        <w:pStyle w:val="Body"/>
      </w:pPr>
      <w:r>
        <w:t xml:space="preserve">For the June agenda, add time to discuss the October </w:t>
      </w:r>
      <w:r w:rsidR="0021473B">
        <w:t>A</w:t>
      </w:r>
      <w:r>
        <w:t xml:space="preserve">uditor </w:t>
      </w:r>
      <w:r w:rsidR="0021473B">
        <w:t>C</w:t>
      </w:r>
      <w:r>
        <w:t>onference if the time available is limited</w:t>
      </w:r>
      <w:r w:rsidR="001D735B">
        <w:t xml:space="preserve"> (90 minutes)</w:t>
      </w:r>
      <w:r>
        <w:t>.</w:t>
      </w:r>
      <w:r w:rsidR="001D735B">
        <w:t xml:space="preserve">  Other agenda items to be added as notes in minutes.</w:t>
      </w:r>
    </w:p>
    <w:p w14:paraId="3D849F41" w14:textId="77777777" w:rsidR="001D735B" w:rsidRDefault="001D735B" w:rsidP="00D745FB">
      <w:pPr>
        <w:pStyle w:val="Body"/>
      </w:pPr>
      <w:r>
        <w:t xml:space="preserve">The open meeting was concluded at 2:45 p.m.  </w:t>
      </w:r>
    </w:p>
    <w:p w14:paraId="23DE54C3" w14:textId="77777777" w:rsidR="001D735B" w:rsidRDefault="001D735B" w:rsidP="001D735B">
      <w:pPr>
        <w:pStyle w:val="Body"/>
      </w:pPr>
      <w:r>
        <w:t>Quorum was re-established and badges confirmed.</w:t>
      </w:r>
    </w:p>
    <w:p w14:paraId="23666FA5" w14:textId="77777777" w:rsidR="00E60AEA" w:rsidRDefault="00D745FB" w:rsidP="00D745FB">
      <w:pPr>
        <w:pStyle w:val="Heading1"/>
      </w:pPr>
      <w:bookmarkStart w:id="127" w:name="_Toc423952682"/>
      <w:bookmarkStart w:id="128" w:name="_Toc455145478"/>
      <w:bookmarkStart w:id="129" w:name="_Toc455148497"/>
      <w:bookmarkStart w:id="130" w:name="_Toc466027065"/>
      <w:bookmarkStart w:id="131" w:name="_Toc466379384"/>
      <w:bookmarkStart w:id="132" w:name="_Toc466379687"/>
      <w:bookmarkStart w:id="133" w:name="_Toc466380057"/>
      <w:bookmarkStart w:id="134" w:name="_Toc466380228"/>
      <w:bookmarkStart w:id="135" w:name="_Toc466455048"/>
      <w:bookmarkStart w:id="136" w:name="_Toc466455150"/>
      <w:bookmarkStart w:id="137" w:name="_Toc466455262"/>
      <w:bookmarkStart w:id="138" w:name="_Toc471218722"/>
      <w:bookmarkStart w:id="139" w:name="_Toc471219048"/>
      <w:bookmarkStart w:id="140" w:name="_Toc471219260"/>
      <w:bookmarkStart w:id="141" w:name="_Toc471220528"/>
      <w:r w:rsidRPr="00D745FB">
        <w:t>AUDIT / AUDITOR REVIEW</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xml:space="preserve"> – CLOSED</w:t>
      </w:r>
    </w:p>
    <w:p w14:paraId="2BD5C643" w14:textId="77777777" w:rsidR="00D745FB" w:rsidRDefault="001D735B" w:rsidP="00D745FB">
      <w:pPr>
        <w:pStyle w:val="Body"/>
      </w:pPr>
      <w:r>
        <w:t xml:space="preserve">No audit required discussion </w:t>
      </w:r>
      <w:proofErr w:type="gramStart"/>
      <w:r>
        <w:t>at this time</w:t>
      </w:r>
      <w:proofErr w:type="gramEnd"/>
      <w:r>
        <w:t>.</w:t>
      </w:r>
    </w:p>
    <w:p w14:paraId="4323D075" w14:textId="77777777" w:rsidR="00D745FB" w:rsidRDefault="00D745FB" w:rsidP="00D745FB">
      <w:pPr>
        <w:pStyle w:val="Heading1"/>
      </w:pPr>
      <w:r w:rsidRPr="00D745FB">
        <w:t>OP 1117 AUDITOR CONSISTENCY</w:t>
      </w:r>
      <w:r>
        <w:t xml:space="preserve"> – CLOSED</w:t>
      </w:r>
    </w:p>
    <w:p w14:paraId="5000E35B" w14:textId="77777777" w:rsidR="0021473B" w:rsidRDefault="00744005" w:rsidP="00D44645">
      <w:pPr>
        <w:pStyle w:val="Body"/>
      </w:pPr>
      <w:r>
        <w:t>S</w:t>
      </w:r>
      <w:r w:rsidR="001D735B">
        <w:t>usan Frailey</w:t>
      </w:r>
      <w:r>
        <w:t xml:space="preserve"> </w:t>
      </w:r>
      <w:r w:rsidR="001D735B">
        <w:t>presented</w:t>
      </w:r>
      <w:r>
        <w:t xml:space="preserve"> the required data set</w:t>
      </w:r>
      <w:r w:rsidR="001D735B">
        <w:t xml:space="preserve"> from OP 1117,</w:t>
      </w:r>
      <w:r>
        <w:t xml:space="preserve"> including NCRs by auditor with normalized </w:t>
      </w:r>
      <w:r w:rsidR="001D735B">
        <w:t>data</w:t>
      </w:r>
      <w:r>
        <w:t xml:space="preserve">.  Those auditors with an average NCR rate </w:t>
      </w:r>
      <w:r w:rsidR="008B18E8">
        <w:t xml:space="preserve">more than </w:t>
      </w:r>
      <w:r>
        <w:t xml:space="preserve">2 standard deviations above the </w:t>
      </w:r>
      <w:r w:rsidR="008B18E8">
        <w:t>group average were reviewed.  One was a small sample size and the others had 1 or two audits that drove their individual averages</w:t>
      </w:r>
      <w:r w:rsidR="001D735B">
        <w:t xml:space="preserve"> up</w:t>
      </w:r>
      <w:r w:rsidR="008B18E8">
        <w:t>.  No action will be taken on this metric.</w:t>
      </w:r>
    </w:p>
    <w:p w14:paraId="4D1F0581" w14:textId="4A542AA1" w:rsidR="0021473B" w:rsidRDefault="008B18E8" w:rsidP="00D44645">
      <w:pPr>
        <w:pStyle w:val="Body"/>
      </w:pPr>
      <w:r>
        <w:br/>
      </w:r>
      <w:r w:rsidR="0021473B">
        <w:t>The</w:t>
      </w:r>
      <w:r>
        <w:t xml:space="preserve"> reviews by the audit reviewers and suppliers </w:t>
      </w:r>
      <w:r w:rsidR="0021473B">
        <w:t xml:space="preserve">were </w:t>
      </w:r>
      <w:r>
        <w:t>examined.</w:t>
      </w:r>
      <w:r w:rsidR="00D44645">
        <w:t xml:space="preserve"> No action is being taken on this data.</w:t>
      </w:r>
    </w:p>
    <w:p w14:paraId="3A2311D6" w14:textId="77777777" w:rsidR="00D44645" w:rsidRDefault="00D44645" w:rsidP="00D44645">
      <w:pPr>
        <w:pStyle w:val="Body"/>
      </w:pPr>
      <w:r>
        <w:br/>
        <w:t>Observer comments were reviewed</w:t>
      </w:r>
      <w:r w:rsidR="001D735B">
        <w:t>.</w:t>
      </w:r>
      <w:r>
        <w:t xml:space="preserve"> No action</w:t>
      </w:r>
      <w:r w:rsidR="001D735B">
        <w:t>s</w:t>
      </w:r>
      <w:r>
        <w:t xml:space="preserve"> required.</w:t>
      </w:r>
    </w:p>
    <w:p w14:paraId="6E700EC3" w14:textId="77777777" w:rsidR="004D74D7" w:rsidRDefault="004D74D7" w:rsidP="00D44645">
      <w:pPr>
        <w:pStyle w:val="Body"/>
      </w:pPr>
      <w:r>
        <w:t>The list of target auditors will include those approved through the AQS training process.</w:t>
      </w:r>
    </w:p>
    <w:p w14:paraId="5BF34EBE" w14:textId="49E09282" w:rsidR="00D745FB" w:rsidRDefault="00D44645" w:rsidP="00D745FB">
      <w:pPr>
        <w:pStyle w:val="ActionItem"/>
      </w:pPr>
      <w:r>
        <w:t>ACTION ITEM: Su</w:t>
      </w:r>
      <w:r w:rsidR="001D735B">
        <w:t>san</w:t>
      </w:r>
      <w:r>
        <w:t xml:space="preserve"> Frailey to ask at </w:t>
      </w:r>
      <w:r w:rsidR="00D11C50">
        <w:t xml:space="preserve">SE </w:t>
      </w:r>
      <w:r>
        <w:t xml:space="preserve">SWAT to have </w:t>
      </w:r>
      <w:r w:rsidR="0021473B">
        <w:t>S</w:t>
      </w:r>
      <w:r>
        <w:t xml:space="preserve">taff </w:t>
      </w:r>
      <w:r w:rsidR="0021473B">
        <w:t>E</w:t>
      </w:r>
      <w:r>
        <w:t xml:space="preserve">ngineers request auditors to assure profiles are up to date as the AQS </w:t>
      </w:r>
      <w:r w:rsidR="00D11C50">
        <w:t xml:space="preserve">Task Group </w:t>
      </w:r>
      <w:r>
        <w:t xml:space="preserve">has noted potential errors in Conflict of Interests not being noted. </w:t>
      </w:r>
      <w:r w:rsidR="00D745FB">
        <w:t xml:space="preserve"> </w:t>
      </w:r>
      <w:r w:rsidR="0021473B">
        <w:t>(</w:t>
      </w:r>
      <w:r>
        <w:t>Due Date: 31-May-2017</w:t>
      </w:r>
      <w:r w:rsidR="0021473B">
        <w:t>)</w:t>
      </w:r>
    </w:p>
    <w:p w14:paraId="2020AB43" w14:textId="77777777" w:rsidR="004D74D7" w:rsidRDefault="004D74D7" w:rsidP="004D74D7">
      <w:pPr>
        <w:pStyle w:val="ActionItem"/>
      </w:pPr>
      <w:r>
        <w:t>ACTION ITEM: Su</w:t>
      </w:r>
      <w:r w:rsidR="001D735B">
        <w:t>san</w:t>
      </w:r>
      <w:r>
        <w:t xml:space="preserve"> Frailey to ask at </w:t>
      </w:r>
      <w:r w:rsidR="00D11C50">
        <w:t xml:space="preserve">SE </w:t>
      </w:r>
      <w:r>
        <w:t xml:space="preserve">SWAT </w:t>
      </w:r>
      <w:r w:rsidR="008907ED">
        <w:t>if</w:t>
      </w:r>
      <w:r>
        <w:t xml:space="preserve"> </w:t>
      </w:r>
      <w:r w:rsidR="008907ED">
        <w:t>S</w:t>
      </w:r>
      <w:r>
        <w:t xml:space="preserve">taff </w:t>
      </w:r>
      <w:r w:rsidR="008907ED">
        <w:t>E</w:t>
      </w:r>
      <w:r>
        <w:t xml:space="preserve">ngineers share observation results with other </w:t>
      </w:r>
      <w:r w:rsidR="008907ED">
        <w:t>S</w:t>
      </w:r>
      <w:r>
        <w:t xml:space="preserve">taff </w:t>
      </w:r>
      <w:r w:rsidR="008907ED">
        <w:t>E</w:t>
      </w:r>
      <w:r>
        <w:t xml:space="preserve">ngineers when the auditor supports multiple TGs.  </w:t>
      </w:r>
      <w:r w:rsidR="0021473B">
        <w:t>(</w:t>
      </w:r>
      <w:r>
        <w:t>Due Date: 31-May-2017</w:t>
      </w:r>
      <w:r w:rsidR="00590B96">
        <w:t>)</w:t>
      </w:r>
    </w:p>
    <w:p w14:paraId="2056F3D2" w14:textId="77777777" w:rsidR="004D74D7" w:rsidRDefault="004D74D7" w:rsidP="00D745FB">
      <w:pPr>
        <w:pStyle w:val="Body"/>
      </w:pPr>
    </w:p>
    <w:p w14:paraId="42D487E5" w14:textId="77777777" w:rsidR="00D745FB" w:rsidRDefault="00D745FB" w:rsidP="00D745FB">
      <w:pPr>
        <w:pStyle w:val="Heading1"/>
      </w:pPr>
      <w:bookmarkStart w:id="142" w:name="_Toc423952689"/>
      <w:bookmarkStart w:id="143" w:name="_Toc455145486"/>
      <w:bookmarkStart w:id="144" w:name="_Toc455148505"/>
      <w:bookmarkStart w:id="145" w:name="_Toc466027071"/>
      <w:bookmarkStart w:id="146" w:name="_Toc466379390"/>
      <w:bookmarkStart w:id="147" w:name="_Toc466379693"/>
      <w:bookmarkStart w:id="148" w:name="_Toc466380063"/>
      <w:bookmarkStart w:id="149" w:name="_Toc466380234"/>
      <w:bookmarkStart w:id="150" w:name="_Toc466455056"/>
      <w:bookmarkStart w:id="151" w:name="_Toc466455158"/>
      <w:bookmarkStart w:id="152" w:name="_Toc466455270"/>
      <w:bookmarkStart w:id="153" w:name="_Toc471218729"/>
      <w:bookmarkStart w:id="154" w:name="_Toc471219055"/>
      <w:bookmarkStart w:id="155" w:name="_Toc471219267"/>
      <w:bookmarkStart w:id="156" w:name="_Toc471220535"/>
      <w:r w:rsidRPr="00D03E42">
        <w:lastRenderedPageBreak/>
        <w:t>NEW BUSINESS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 xml:space="preserve"> – CLOSED</w:t>
      </w:r>
    </w:p>
    <w:p w14:paraId="6E6E3667" w14:textId="77777777" w:rsidR="00D745FB" w:rsidRDefault="00D22F8B" w:rsidP="001D735B">
      <w:pPr>
        <w:pStyle w:val="Heading2"/>
      </w:pPr>
      <w:r>
        <w:t>Earl Pruitt brought to AQS’ attention a concern that has come to HT.</w:t>
      </w:r>
      <w:r w:rsidR="002B340F">
        <w:t xml:space="preserve">  Th</w:t>
      </w:r>
      <w:r w:rsidR="002A308F">
        <w:t>e supplier has an AS9100 cert</w:t>
      </w:r>
      <w:r w:rsidR="00D11C50">
        <w:t>ificate</w:t>
      </w:r>
      <w:r w:rsidR="002A308F">
        <w:t xml:space="preserve">, </w:t>
      </w:r>
      <w:r w:rsidR="002B340F">
        <w:t>not AC7004</w:t>
      </w:r>
      <w:r w:rsidR="0097547B">
        <w:t xml:space="preserve"> accreditation</w:t>
      </w:r>
      <w:r w:rsidR="002B340F">
        <w:t>.</w:t>
      </w:r>
      <w:r w:rsidR="001D735B">
        <w:t xml:space="preserve">  Earl will keep AQS informed if any action needs to be taken by AQS.</w:t>
      </w:r>
    </w:p>
    <w:p w14:paraId="152A01EF" w14:textId="77777777" w:rsidR="0097547B" w:rsidRDefault="001D735B" w:rsidP="00D745FB">
      <w:pPr>
        <w:pStyle w:val="Heading2"/>
      </w:pPr>
      <w:r>
        <w:t xml:space="preserve">Audit reviewers’ delegation metrics were reviewed.  The t-frm-07s were reviewed.  The percentages for quorum and concurrence were well above minimum.  </w:t>
      </w:r>
    </w:p>
    <w:p w14:paraId="0798F2B0" w14:textId="77777777" w:rsidR="00D745FB" w:rsidRDefault="00D745FB" w:rsidP="0097547B">
      <w:pPr>
        <w:pStyle w:val="Heading2"/>
        <w:numPr>
          <w:ilvl w:val="0"/>
          <w:numId w:val="0"/>
        </w:numPr>
        <w:ind w:left="720"/>
      </w:pPr>
      <w:r>
        <w:t xml:space="preserve">Motion made by </w:t>
      </w:r>
      <w:r w:rsidR="001D735B">
        <w:t>Tony Marino</w:t>
      </w:r>
      <w:r>
        <w:t xml:space="preserve"> and seconded by </w:t>
      </w:r>
      <w:r w:rsidR="001D735B">
        <w:t>John Merritt</w:t>
      </w:r>
      <w:r>
        <w:t xml:space="preserve"> to </w:t>
      </w:r>
      <w:r w:rsidR="00F31E97">
        <w:t>continue</w:t>
      </w:r>
      <w:r w:rsidR="001D735B">
        <w:t xml:space="preserve"> delegation </w:t>
      </w:r>
      <w:r w:rsidR="00F31E97">
        <w:t xml:space="preserve">of </w:t>
      </w:r>
      <w:r w:rsidR="001D735B">
        <w:t>both Susan Frailey and Mike Gutridge</w:t>
      </w:r>
      <w:r>
        <w:t>. Motion Passed.</w:t>
      </w:r>
    </w:p>
    <w:p w14:paraId="11A2FAA5" w14:textId="77777777" w:rsidR="00FA0B5E" w:rsidRDefault="003036ED" w:rsidP="00272E48">
      <w:r>
        <w:t>ADJOURNMENT – 23-Feb-2017 – Meeting was adjourned at 4:00</w:t>
      </w:r>
      <w:r w:rsidR="00FA0B5E">
        <w:t xml:space="preserve"> p.m.</w:t>
      </w:r>
      <w:r>
        <w:t xml:space="preserve"> as moved by Trish Wesemann and seconded by David Day.  Motion carried</w:t>
      </w:r>
    </w:p>
    <w:p w14:paraId="347641F7" w14:textId="77777777" w:rsidR="00FA0B5E" w:rsidRDefault="002A308F" w:rsidP="00272E48">
      <w:pPr>
        <w:pStyle w:val="Body"/>
      </w:pPr>
      <w:r>
        <w:t>Minutes Prepared by: David Day</w:t>
      </w:r>
      <w:r w:rsidR="003C286C">
        <w:t>,</w:t>
      </w:r>
      <w:r>
        <w:t xml:space="preserve"> </w:t>
      </w:r>
      <w:hyperlink r:id="rId11" w:history="1">
        <w:r w:rsidRPr="007E0948">
          <w:rPr>
            <w:rStyle w:val="Hyperlink"/>
          </w:rPr>
          <w:t>david.day@ge.com</w:t>
        </w:r>
      </w:hyperlink>
    </w:p>
    <w:p w14:paraId="37CD7926"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F5C5DE1" w14:textId="77777777" w:rsidTr="00B07504">
        <w:tc>
          <w:tcPr>
            <w:tcW w:w="9576" w:type="dxa"/>
            <w:gridSpan w:val="3"/>
            <w:shd w:val="clear" w:color="auto" w:fill="F2F2F2" w:themeFill="background1" w:themeFillShade="F2"/>
          </w:tcPr>
          <w:p w14:paraId="60AD672B" w14:textId="77777777" w:rsidR="00272E48" w:rsidRDefault="00272E48" w:rsidP="004E7B29"/>
          <w:p w14:paraId="775BB795" w14:textId="77777777" w:rsidR="00272E48" w:rsidRDefault="00272E48" w:rsidP="00272E48">
            <w:pPr>
              <w:jc w:val="center"/>
            </w:pPr>
            <w:r w:rsidRPr="00272E48">
              <w:t>***** For PRI Staff use only: ******</w:t>
            </w:r>
          </w:p>
          <w:p w14:paraId="149EBC9A" w14:textId="77777777" w:rsidR="00272E48" w:rsidRDefault="00272E48" w:rsidP="004E7B29"/>
          <w:p w14:paraId="28B621F5" w14:textId="77777777" w:rsidR="00272E48" w:rsidRDefault="00272E48" w:rsidP="004E7B29">
            <w:r w:rsidRPr="00272E48">
              <w:t>Are procedural/form changes required based on changes/actions approved during this meeting? (select one)</w:t>
            </w:r>
          </w:p>
          <w:p w14:paraId="6E418ED1" w14:textId="77777777" w:rsidR="00272E48" w:rsidRDefault="00272E48" w:rsidP="004E7B29"/>
          <w:p w14:paraId="6410C775" w14:textId="23BDAA84"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0A1AE7">
                  <w:rPr>
                    <w:rFonts w:ascii="MS Gothic" w:eastAsia="MS Gothic" w:hAnsi="MS Gothic" w:hint="eastAsia"/>
                  </w:rPr>
                  <w:t>☒</w:t>
                </w:r>
              </w:sdtContent>
            </w:sdt>
          </w:p>
          <w:p w14:paraId="72C0C41E" w14:textId="77777777" w:rsidR="00272E48" w:rsidRDefault="00272E48" w:rsidP="004E7B29"/>
          <w:p w14:paraId="6830B353" w14:textId="77777777" w:rsidR="00272E48" w:rsidRPr="00272E48" w:rsidRDefault="00272E48" w:rsidP="004E7B29">
            <w:r w:rsidRPr="00272E48">
              <w:t>*If yes, the following information is required:</w:t>
            </w:r>
          </w:p>
        </w:tc>
      </w:tr>
      <w:tr w:rsidR="00272E48" w:rsidRPr="00272E48" w14:paraId="52195388" w14:textId="77777777" w:rsidTr="00272E48">
        <w:tc>
          <w:tcPr>
            <w:tcW w:w="3192" w:type="dxa"/>
            <w:shd w:val="clear" w:color="auto" w:fill="F2F2F2" w:themeFill="background1" w:themeFillShade="F2"/>
          </w:tcPr>
          <w:p w14:paraId="058A5BB5" w14:textId="77777777" w:rsidR="00272E48" w:rsidRPr="00272E48" w:rsidRDefault="00272E48" w:rsidP="004E7B29">
            <w:r w:rsidRPr="00272E48">
              <w:t>Documents requiring revision:</w:t>
            </w:r>
          </w:p>
        </w:tc>
        <w:tc>
          <w:tcPr>
            <w:tcW w:w="3192" w:type="dxa"/>
            <w:shd w:val="clear" w:color="auto" w:fill="F2F2F2" w:themeFill="background1" w:themeFillShade="F2"/>
          </w:tcPr>
          <w:p w14:paraId="27ECCF80" w14:textId="77777777" w:rsidR="00272E48" w:rsidRPr="00272E48" w:rsidRDefault="00272E48" w:rsidP="004E7B29">
            <w:r w:rsidRPr="00272E48">
              <w:t>Who is responsible:</w:t>
            </w:r>
          </w:p>
        </w:tc>
        <w:tc>
          <w:tcPr>
            <w:tcW w:w="3192" w:type="dxa"/>
            <w:shd w:val="clear" w:color="auto" w:fill="F2F2F2" w:themeFill="background1" w:themeFillShade="F2"/>
          </w:tcPr>
          <w:p w14:paraId="42E12370" w14:textId="77777777" w:rsidR="00272E48" w:rsidRPr="00272E48" w:rsidRDefault="00272E48" w:rsidP="004E7B29">
            <w:r w:rsidRPr="00272E48">
              <w:t>Due date:</w:t>
            </w:r>
          </w:p>
        </w:tc>
      </w:tr>
      <w:tr w:rsidR="00272E48" w:rsidRPr="00272E48" w14:paraId="64286964" w14:textId="77777777" w:rsidTr="00272E48">
        <w:tc>
          <w:tcPr>
            <w:tcW w:w="3192" w:type="dxa"/>
            <w:shd w:val="clear" w:color="auto" w:fill="F2F2F2" w:themeFill="background1" w:themeFillShade="F2"/>
          </w:tcPr>
          <w:p w14:paraId="30A66C10" w14:textId="77777777" w:rsidR="00272E48" w:rsidRPr="00272E48" w:rsidRDefault="00272E48" w:rsidP="004E7B29"/>
        </w:tc>
        <w:tc>
          <w:tcPr>
            <w:tcW w:w="3192" w:type="dxa"/>
            <w:shd w:val="clear" w:color="auto" w:fill="F2F2F2" w:themeFill="background1" w:themeFillShade="F2"/>
          </w:tcPr>
          <w:p w14:paraId="7B8C6B9D" w14:textId="77777777" w:rsidR="00272E48" w:rsidRPr="00272E48" w:rsidRDefault="00272E48" w:rsidP="004E7B29"/>
        </w:tc>
        <w:tc>
          <w:tcPr>
            <w:tcW w:w="3192" w:type="dxa"/>
            <w:shd w:val="clear" w:color="auto" w:fill="F2F2F2" w:themeFill="background1" w:themeFillShade="F2"/>
          </w:tcPr>
          <w:p w14:paraId="55096304" w14:textId="77777777" w:rsidR="00272E48" w:rsidRPr="00272E48" w:rsidRDefault="00272E48" w:rsidP="004E7B29"/>
        </w:tc>
      </w:tr>
      <w:tr w:rsidR="00272E48" w:rsidRPr="00272E48" w14:paraId="4F700A5F" w14:textId="77777777" w:rsidTr="00272E48">
        <w:tc>
          <w:tcPr>
            <w:tcW w:w="3192" w:type="dxa"/>
            <w:shd w:val="clear" w:color="auto" w:fill="F2F2F2" w:themeFill="background1" w:themeFillShade="F2"/>
          </w:tcPr>
          <w:p w14:paraId="7D601277" w14:textId="77777777" w:rsidR="00272E48" w:rsidRPr="00272E48" w:rsidRDefault="00272E48" w:rsidP="004E7B29"/>
        </w:tc>
        <w:tc>
          <w:tcPr>
            <w:tcW w:w="3192" w:type="dxa"/>
            <w:shd w:val="clear" w:color="auto" w:fill="F2F2F2" w:themeFill="background1" w:themeFillShade="F2"/>
          </w:tcPr>
          <w:p w14:paraId="69B16A12" w14:textId="77777777" w:rsidR="00272E48" w:rsidRPr="00272E48" w:rsidRDefault="00272E48" w:rsidP="004E7B29"/>
        </w:tc>
        <w:tc>
          <w:tcPr>
            <w:tcW w:w="3192" w:type="dxa"/>
            <w:shd w:val="clear" w:color="auto" w:fill="F2F2F2" w:themeFill="background1" w:themeFillShade="F2"/>
          </w:tcPr>
          <w:p w14:paraId="563F24B5" w14:textId="77777777" w:rsidR="00272E48" w:rsidRPr="00272E48" w:rsidRDefault="00272E48" w:rsidP="004E7B29"/>
        </w:tc>
      </w:tr>
    </w:tbl>
    <w:p w14:paraId="184AB774" w14:textId="77777777" w:rsidR="00FA0B5E" w:rsidRDefault="00FA0B5E" w:rsidP="00FA0B5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FA95" w14:textId="77777777" w:rsidR="008F6475" w:rsidRDefault="008F6475" w:rsidP="00FC3F1E">
      <w:pPr>
        <w:spacing w:after="0"/>
      </w:pPr>
      <w:r>
        <w:separator/>
      </w:r>
    </w:p>
  </w:endnote>
  <w:endnote w:type="continuationSeparator" w:id="0">
    <w:p w14:paraId="7B39EA67" w14:textId="77777777" w:rsidR="008F6475" w:rsidRDefault="008F647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D04D" w14:textId="77777777" w:rsidR="001D7211" w:rsidRDefault="001D7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624C" w14:textId="77777777" w:rsidR="001D7211" w:rsidRDefault="001D7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31B5" w14:textId="77777777" w:rsidR="001D7211" w:rsidRDefault="001D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85D3" w14:textId="77777777" w:rsidR="008F6475" w:rsidRDefault="008F6475" w:rsidP="00FC3F1E">
      <w:pPr>
        <w:spacing w:after="0"/>
      </w:pPr>
      <w:r>
        <w:separator/>
      </w:r>
    </w:p>
  </w:footnote>
  <w:footnote w:type="continuationSeparator" w:id="0">
    <w:p w14:paraId="64DAA192" w14:textId="77777777" w:rsidR="008F6475" w:rsidRDefault="008F647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AE1B" w14:textId="194B2D4B" w:rsidR="00284747" w:rsidRDefault="001D7211">
    <w:pPr>
      <w:pStyle w:val="Header"/>
    </w:pPr>
    <w:r>
      <w:rPr>
        <w:noProof/>
      </w:rPr>
      <w:pict w14:anchorId="7FC3E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2130" o:spid="_x0000_s2053" type="#_x0000_t136" style="position:absolute;left:0;text-align:left;margin-left:0;margin-top:0;width:558.35pt;height:101.5pt;rotation:315;z-index:-251646976;mso-position-horizontal:center;mso-position-horizontal-relative:margin;mso-position-vertical:center;mso-position-vertical-relative:margin" o:allowincell="f" fillcolor="silver" stroked="f">
          <v:fill opacity=".5"/>
          <v:textpath style="font-family:&quot;Arial&quot;;font-size:1pt" string="CONFIRM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2A02" w14:textId="79A10E9B" w:rsidR="00FC3F1E" w:rsidRDefault="001D7211">
    <w:pPr>
      <w:pStyle w:val="Header"/>
    </w:pPr>
    <w:r>
      <w:rPr>
        <w:noProof/>
      </w:rPr>
      <w:pict w14:anchorId="0E62A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2131" o:spid="_x0000_s2054" type="#_x0000_t136" style="position:absolute;left:0;text-align:left;margin-left:0;margin-top:0;width:558.35pt;height:101.5pt;rotation:315;z-index:-251644928;mso-position-horizontal:center;mso-position-horizontal-relative:margin;mso-position-vertical:center;mso-position-vertical-relative:margin" o:allowincell="f" fillcolor="silver" stroked="f">
          <v:fill opacity=".5"/>
          <v:textpath style="font-family:&quot;Arial&quot;;font-size:1pt" string="CONFIRMED"/>
        </v:shape>
      </w:pict>
    </w:r>
    <w:r w:rsidR="00A01EEA">
      <w:rPr>
        <w:noProof/>
      </w:rPr>
      <w:drawing>
        <wp:anchor distT="0" distB="0" distL="114300" distR="114300" simplePos="0" relativeHeight="251665408" behindDoc="0" locked="0" layoutInCell="1" allowOverlap="1" wp14:anchorId="726E6136" wp14:editId="0F943E45">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CD47ED" w:rsidRPr="00CD47ED">
      <w:t xml:space="preserve"> </w:t>
    </w:r>
    <w:r w:rsidR="00CD47ED">
      <w:t xml:space="preserve">Aerospace Quality Systems (AQS)  </w:t>
    </w:r>
  </w:p>
  <w:p w14:paraId="65EF9BD1" w14:textId="77777777" w:rsidR="00FC3F1E" w:rsidRDefault="00CD47ED">
    <w:pPr>
      <w:pStyle w:val="Header"/>
    </w:pPr>
    <w:r>
      <w:t>February 2017</w:t>
    </w:r>
  </w:p>
  <w:p w14:paraId="34397BF7" w14:textId="6D6D4797" w:rsidR="00FC3F1E" w:rsidRDefault="00BE288D">
    <w:pPr>
      <w:pStyle w:val="Header"/>
    </w:pPr>
    <w:r>
      <w:t>CONFIRMED</w:t>
    </w:r>
  </w:p>
  <w:p w14:paraId="1C5580CF"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8A41" w14:textId="5F7E6B60" w:rsidR="00284747" w:rsidRDefault="001D7211">
    <w:pPr>
      <w:pStyle w:val="Header"/>
    </w:pPr>
    <w:r>
      <w:rPr>
        <w:noProof/>
      </w:rPr>
      <w:pict w14:anchorId="00FF5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2129" o:spid="_x0000_s2052" type="#_x0000_t136" style="position:absolute;left:0;text-align:left;margin-left:0;margin-top:0;width:558.35pt;height:101.5pt;rotation:315;z-index:-251649024;mso-position-horizontal:center;mso-position-horizontal-relative:margin;mso-position-vertical:center;mso-position-vertical-relative:margin" o:allowincell="f" fillcolor="silver" stroked="f">
          <v:fill opacity=".5"/>
          <v:textpath style="font-family:&quot;Arial&quot;;font-size:1pt" string="CONFIRM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158E3A3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13A4"/>
    <w:rsid w:val="00007EAF"/>
    <w:rsid w:val="00011EA4"/>
    <w:rsid w:val="00021222"/>
    <w:rsid w:val="00021465"/>
    <w:rsid w:val="00041138"/>
    <w:rsid w:val="00047CEC"/>
    <w:rsid w:val="000A1AE7"/>
    <w:rsid w:val="000D1E7C"/>
    <w:rsid w:val="00111291"/>
    <w:rsid w:val="00114717"/>
    <w:rsid w:val="0012238B"/>
    <w:rsid w:val="001649CF"/>
    <w:rsid w:val="00182C15"/>
    <w:rsid w:val="001A1215"/>
    <w:rsid w:val="001C4D11"/>
    <w:rsid w:val="001D248A"/>
    <w:rsid w:val="001D7211"/>
    <w:rsid w:val="001D735B"/>
    <w:rsid w:val="002023C5"/>
    <w:rsid w:val="0021473B"/>
    <w:rsid w:val="0022486C"/>
    <w:rsid w:val="002266B7"/>
    <w:rsid w:val="00231248"/>
    <w:rsid w:val="002529C7"/>
    <w:rsid w:val="00272E48"/>
    <w:rsid w:val="00284747"/>
    <w:rsid w:val="002A308F"/>
    <w:rsid w:val="002A7A65"/>
    <w:rsid w:val="002B340F"/>
    <w:rsid w:val="002D3EF5"/>
    <w:rsid w:val="003036ED"/>
    <w:rsid w:val="00337E90"/>
    <w:rsid w:val="003515C1"/>
    <w:rsid w:val="00367C28"/>
    <w:rsid w:val="003B4BE0"/>
    <w:rsid w:val="003B53D4"/>
    <w:rsid w:val="003B5FCD"/>
    <w:rsid w:val="003C286C"/>
    <w:rsid w:val="003F711A"/>
    <w:rsid w:val="00417309"/>
    <w:rsid w:val="00422BB3"/>
    <w:rsid w:val="00436CD4"/>
    <w:rsid w:val="004423A4"/>
    <w:rsid w:val="00443713"/>
    <w:rsid w:val="00446F54"/>
    <w:rsid w:val="00495BD1"/>
    <w:rsid w:val="004A0807"/>
    <w:rsid w:val="004D2E91"/>
    <w:rsid w:val="004D675F"/>
    <w:rsid w:val="004D74D7"/>
    <w:rsid w:val="004F1E64"/>
    <w:rsid w:val="00506EE2"/>
    <w:rsid w:val="00516CBC"/>
    <w:rsid w:val="00545F8B"/>
    <w:rsid w:val="00590B96"/>
    <w:rsid w:val="005B213D"/>
    <w:rsid w:val="005D20A1"/>
    <w:rsid w:val="005D4E4C"/>
    <w:rsid w:val="00605123"/>
    <w:rsid w:val="006227ED"/>
    <w:rsid w:val="00680232"/>
    <w:rsid w:val="00684E2E"/>
    <w:rsid w:val="00687555"/>
    <w:rsid w:val="00693DCF"/>
    <w:rsid w:val="006C0BD7"/>
    <w:rsid w:val="006C3D80"/>
    <w:rsid w:val="006F25CC"/>
    <w:rsid w:val="006F4D13"/>
    <w:rsid w:val="0072726A"/>
    <w:rsid w:val="0072739C"/>
    <w:rsid w:val="00744005"/>
    <w:rsid w:val="00761F7C"/>
    <w:rsid w:val="007A0F93"/>
    <w:rsid w:val="007C0BF6"/>
    <w:rsid w:val="007D7046"/>
    <w:rsid w:val="007F7E08"/>
    <w:rsid w:val="00860880"/>
    <w:rsid w:val="00866C8D"/>
    <w:rsid w:val="008907ED"/>
    <w:rsid w:val="00895D93"/>
    <w:rsid w:val="008B18E8"/>
    <w:rsid w:val="008E5F04"/>
    <w:rsid w:val="008F6475"/>
    <w:rsid w:val="00907A07"/>
    <w:rsid w:val="0097547B"/>
    <w:rsid w:val="00975C63"/>
    <w:rsid w:val="00992272"/>
    <w:rsid w:val="0099688D"/>
    <w:rsid w:val="009A6D47"/>
    <w:rsid w:val="009B01D8"/>
    <w:rsid w:val="009D72CF"/>
    <w:rsid w:val="009E3DC8"/>
    <w:rsid w:val="009E54ED"/>
    <w:rsid w:val="009E5E1E"/>
    <w:rsid w:val="009E70EB"/>
    <w:rsid w:val="009F6C0D"/>
    <w:rsid w:val="009F7595"/>
    <w:rsid w:val="00A01EEA"/>
    <w:rsid w:val="00A166DE"/>
    <w:rsid w:val="00A345F8"/>
    <w:rsid w:val="00A36B3E"/>
    <w:rsid w:val="00A45104"/>
    <w:rsid w:val="00A61353"/>
    <w:rsid w:val="00A95E35"/>
    <w:rsid w:val="00AD6949"/>
    <w:rsid w:val="00AF3F7B"/>
    <w:rsid w:val="00AF5B18"/>
    <w:rsid w:val="00B40532"/>
    <w:rsid w:val="00BC1301"/>
    <w:rsid w:val="00BD46F7"/>
    <w:rsid w:val="00BE288D"/>
    <w:rsid w:val="00BE709F"/>
    <w:rsid w:val="00C01D4D"/>
    <w:rsid w:val="00C10ADD"/>
    <w:rsid w:val="00C13CCD"/>
    <w:rsid w:val="00C36701"/>
    <w:rsid w:val="00C50BD5"/>
    <w:rsid w:val="00C576C6"/>
    <w:rsid w:val="00C6147D"/>
    <w:rsid w:val="00C7478F"/>
    <w:rsid w:val="00CB7802"/>
    <w:rsid w:val="00CC4718"/>
    <w:rsid w:val="00CC4EB5"/>
    <w:rsid w:val="00CD47ED"/>
    <w:rsid w:val="00CF6A99"/>
    <w:rsid w:val="00D0193E"/>
    <w:rsid w:val="00D06D14"/>
    <w:rsid w:val="00D11C50"/>
    <w:rsid w:val="00D22F8B"/>
    <w:rsid w:val="00D44645"/>
    <w:rsid w:val="00D745FB"/>
    <w:rsid w:val="00DC686B"/>
    <w:rsid w:val="00DF00D7"/>
    <w:rsid w:val="00E32F5E"/>
    <w:rsid w:val="00E51455"/>
    <w:rsid w:val="00E56F2A"/>
    <w:rsid w:val="00E60AEA"/>
    <w:rsid w:val="00EB6D52"/>
    <w:rsid w:val="00EE09F4"/>
    <w:rsid w:val="00EE1EC9"/>
    <w:rsid w:val="00F0049A"/>
    <w:rsid w:val="00F107A2"/>
    <w:rsid w:val="00F31E97"/>
    <w:rsid w:val="00F37EE0"/>
    <w:rsid w:val="00F41FE2"/>
    <w:rsid w:val="00F44C9E"/>
    <w:rsid w:val="00F45458"/>
    <w:rsid w:val="00F561DD"/>
    <w:rsid w:val="00F639E0"/>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49727A"/>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customStyle="1" w:styleId="Sub-Topic">
    <w:name w:val="Sub-Topic"/>
    <w:basedOn w:val="Normal"/>
    <w:qFormat/>
    <w:rsid w:val="00D745FB"/>
    <w:pPr>
      <w:numPr>
        <w:ilvl w:val="2"/>
        <w:numId w:val="4"/>
      </w:numPr>
      <w:spacing w:before="60" w:after="0"/>
    </w:pPr>
    <w:rPr>
      <w:rFonts w:eastAsia="Times New Roman" w:cs="Arial"/>
      <w:sz w:val="16"/>
      <w:szCs w:val="16"/>
    </w:rPr>
  </w:style>
  <w:style w:type="paragraph" w:customStyle="1" w:styleId="Topic">
    <w:name w:val="Topic"/>
    <w:basedOn w:val="Normal"/>
    <w:link w:val="TopicChar"/>
    <w:qFormat/>
    <w:rsid w:val="00D745FB"/>
    <w:pPr>
      <w:numPr>
        <w:numId w:val="4"/>
      </w:numPr>
      <w:spacing w:before="60" w:after="0"/>
    </w:pPr>
    <w:rPr>
      <w:rFonts w:eastAsia="Times New Roman" w:cs="Times New Roman"/>
      <w:b/>
      <w:sz w:val="16"/>
      <w:szCs w:val="16"/>
    </w:rPr>
  </w:style>
  <w:style w:type="paragraph" w:customStyle="1" w:styleId="Topicdetail">
    <w:name w:val="Topic detail"/>
    <w:basedOn w:val="Topic"/>
    <w:qFormat/>
    <w:rsid w:val="00D745FB"/>
    <w:pPr>
      <w:numPr>
        <w:ilvl w:val="1"/>
      </w:numPr>
      <w:tabs>
        <w:tab w:val="num" w:pos="360"/>
      </w:tabs>
    </w:pPr>
    <w:rPr>
      <w:b w:val="0"/>
    </w:rPr>
  </w:style>
  <w:style w:type="character" w:customStyle="1" w:styleId="TopicChar">
    <w:name w:val="Topic Char"/>
    <w:basedOn w:val="DefaultParagraphFont"/>
    <w:link w:val="Topic"/>
    <w:rsid w:val="00D745FB"/>
    <w:rPr>
      <w:rFonts w:ascii="Arial" w:eastAsia="Times New Roman" w:hAnsi="Arial" w:cs="Times New Roman"/>
      <w:b/>
      <w:sz w:val="16"/>
      <w:szCs w:val="16"/>
    </w:rPr>
  </w:style>
  <w:style w:type="paragraph" w:customStyle="1" w:styleId="Sub-TopicDetail">
    <w:name w:val="Sub-Topic Detail"/>
    <w:basedOn w:val="Sub-Topic"/>
    <w:qFormat/>
    <w:rsid w:val="00D745FB"/>
    <w:pPr>
      <w:numPr>
        <w:ilvl w:val="3"/>
      </w:numPr>
    </w:pPr>
  </w:style>
  <w:style w:type="character" w:styleId="CommentReference">
    <w:name w:val="annotation reference"/>
    <w:basedOn w:val="DefaultParagraphFont"/>
    <w:uiPriority w:val="99"/>
    <w:semiHidden/>
    <w:unhideWhenUsed/>
    <w:rsid w:val="005D4E4C"/>
    <w:rPr>
      <w:sz w:val="16"/>
      <w:szCs w:val="16"/>
    </w:rPr>
  </w:style>
  <w:style w:type="paragraph" w:styleId="CommentText">
    <w:name w:val="annotation text"/>
    <w:basedOn w:val="Normal"/>
    <w:link w:val="CommentTextChar"/>
    <w:uiPriority w:val="99"/>
    <w:semiHidden/>
    <w:unhideWhenUsed/>
    <w:rsid w:val="005D4E4C"/>
    <w:rPr>
      <w:szCs w:val="20"/>
    </w:rPr>
  </w:style>
  <w:style w:type="character" w:customStyle="1" w:styleId="CommentTextChar">
    <w:name w:val="Comment Text Char"/>
    <w:basedOn w:val="DefaultParagraphFont"/>
    <w:link w:val="CommentText"/>
    <w:uiPriority w:val="99"/>
    <w:semiHidden/>
    <w:rsid w:val="005D4E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4E4C"/>
    <w:rPr>
      <w:b/>
      <w:bCs/>
    </w:rPr>
  </w:style>
  <w:style w:type="character" w:customStyle="1" w:styleId="CommentSubjectChar">
    <w:name w:val="Comment Subject Char"/>
    <w:basedOn w:val="CommentTextChar"/>
    <w:link w:val="CommentSubject"/>
    <w:uiPriority w:val="99"/>
    <w:semiHidden/>
    <w:rsid w:val="005D4E4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497">
      <w:bodyDiv w:val="1"/>
      <w:marLeft w:val="0"/>
      <w:marRight w:val="0"/>
      <w:marTop w:val="0"/>
      <w:marBottom w:val="0"/>
      <w:divBdr>
        <w:top w:val="none" w:sz="0" w:space="0" w:color="auto"/>
        <w:left w:val="none" w:sz="0" w:space="0" w:color="auto"/>
        <w:bottom w:val="none" w:sz="0" w:space="0" w:color="auto"/>
        <w:right w:val="none" w:sz="0" w:space="0" w:color="auto"/>
      </w:divBdr>
    </w:div>
    <w:div w:id="425082255">
      <w:bodyDiv w:val="1"/>
      <w:marLeft w:val="0"/>
      <w:marRight w:val="0"/>
      <w:marTop w:val="0"/>
      <w:marBottom w:val="0"/>
      <w:divBdr>
        <w:top w:val="none" w:sz="0" w:space="0" w:color="auto"/>
        <w:left w:val="none" w:sz="0" w:space="0" w:color="auto"/>
        <w:bottom w:val="none" w:sz="0" w:space="0" w:color="auto"/>
        <w:right w:val="none" w:sz="0" w:space="0" w:color="auto"/>
      </w:divBdr>
    </w:div>
    <w:div w:id="862398219">
      <w:bodyDiv w:val="1"/>
      <w:marLeft w:val="0"/>
      <w:marRight w:val="0"/>
      <w:marTop w:val="0"/>
      <w:marBottom w:val="0"/>
      <w:divBdr>
        <w:top w:val="none" w:sz="0" w:space="0" w:color="auto"/>
        <w:left w:val="none" w:sz="0" w:space="0" w:color="auto"/>
        <w:bottom w:val="none" w:sz="0" w:space="0" w:color="auto"/>
        <w:right w:val="none" w:sz="0" w:space="0" w:color="auto"/>
      </w:divBdr>
    </w:div>
    <w:div w:id="960500247">
      <w:bodyDiv w:val="1"/>
      <w:marLeft w:val="0"/>
      <w:marRight w:val="0"/>
      <w:marTop w:val="0"/>
      <w:marBottom w:val="0"/>
      <w:divBdr>
        <w:top w:val="none" w:sz="0" w:space="0" w:color="auto"/>
        <w:left w:val="none" w:sz="0" w:space="0" w:color="auto"/>
        <w:bottom w:val="none" w:sz="0" w:space="0" w:color="auto"/>
        <w:right w:val="none" w:sz="0" w:space="0" w:color="auto"/>
      </w:divBdr>
    </w:div>
    <w:div w:id="1387021700">
      <w:bodyDiv w:val="1"/>
      <w:marLeft w:val="0"/>
      <w:marRight w:val="0"/>
      <w:marTop w:val="0"/>
      <w:marBottom w:val="0"/>
      <w:divBdr>
        <w:top w:val="none" w:sz="0" w:space="0" w:color="auto"/>
        <w:left w:val="none" w:sz="0" w:space="0" w:color="auto"/>
        <w:bottom w:val="none" w:sz="0" w:space="0" w:color="auto"/>
        <w:right w:val="none" w:sz="0" w:space="0" w:color="auto"/>
      </w:divBdr>
    </w:div>
    <w:div w:id="15652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day@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B147829-3569-466E-B543-3A11BDAA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Cathy Rush</cp:lastModifiedBy>
  <cp:revision>2</cp:revision>
  <dcterms:created xsi:type="dcterms:W3CDTF">2017-06-16T15:10:00Z</dcterms:created>
  <dcterms:modified xsi:type="dcterms:W3CDTF">2017-06-16T15:10:00Z</dcterms:modified>
</cp:coreProperties>
</file>